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1B6CB" w14:textId="3F60BA7C" w:rsidR="00DE3D95" w:rsidRDefault="00A471C8" w:rsidP="00600ACE">
      <w:pPr>
        <w:pStyle w:val="Heading1"/>
        <w:rPr>
          <w:bCs/>
        </w:rPr>
      </w:pPr>
      <w:r w:rsidRPr="00A471C8">
        <w:t>Comparing Classification Tree Algorithms</w:t>
      </w:r>
      <w:r w:rsidR="00600ACE">
        <w:t xml:space="preserve"> </w:t>
      </w:r>
      <w:r w:rsidRPr="00A471C8">
        <w:t>When</w:t>
      </w:r>
      <w:r w:rsidR="00600ACE">
        <w:t xml:space="preserve"> </w:t>
      </w:r>
      <w:r w:rsidRPr="00A471C8">
        <w:t>Modeling Survey</w:t>
      </w:r>
      <w:r w:rsidR="00600ACE">
        <w:t xml:space="preserve"> </w:t>
      </w:r>
      <w:r w:rsidRPr="00A471C8">
        <w:rPr>
          <w:bCs/>
        </w:rPr>
        <w:t>Nonresponse</w:t>
      </w:r>
      <w:r w:rsidR="00600ACE">
        <w:rPr>
          <w:bCs/>
        </w:rPr>
        <w:t xml:space="preserve"> </w:t>
      </w:r>
      <w:r w:rsidRPr="00A471C8">
        <w:rPr>
          <w:bCs/>
        </w:rPr>
        <w:t>in Clustered</w:t>
      </w:r>
      <w:r w:rsidR="00600ACE">
        <w:rPr>
          <w:bCs/>
        </w:rPr>
        <w:br/>
      </w:r>
      <w:r w:rsidRPr="00A471C8">
        <w:rPr>
          <w:bCs/>
        </w:rPr>
        <w:t>Survey Designs</w:t>
      </w:r>
    </w:p>
    <w:p w14:paraId="4C89D3E0" w14:textId="7CDF0827" w:rsidR="00A969B0" w:rsidRDefault="00B96A1E" w:rsidP="00600ACE">
      <w:pPr>
        <w:pStyle w:val="Heading2"/>
      </w:pPr>
      <w:r w:rsidRPr="002A1A97">
        <w:t>Jennifer Kali</w:t>
      </w:r>
      <w:r w:rsidRPr="002A1A97">
        <w:rPr>
          <w:vertAlign w:val="superscript"/>
        </w:rPr>
        <w:t>1</w:t>
      </w:r>
      <w:r>
        <w:t>, T</w:t>
      </w:r>
      <w:r w:rsidR="00A969B0" w:rsidRPr="002A1A97">
        <w:t>ien-Huan Lin</w:t>
      </w:r>
      <w:r w:rsidR="00A969B0" w:rsidRPr="002A1A97">
        <w:rPr>
          <w:vertAlign w:val="superscript"/>
        </w:rPr>
        <w:t>1</w:t>
      </w:r>
      <w:r w:rsidR="00A969B0" w:rsidRPr="002A1A97">
        <w:t>, William Cecere</w:t>
      </w:r>
      <w:r w:rsidR="00A969B0" w:rsidRPr="002A1A97">
        <w:rPr>
          <w:vertAlign w:val="superscript"/>
        </w:rPr>
        <w:t>1</w:t>
      </w:r>
      <w:r w:rsidR="00A969B0" w:rsidRPr="002A1A97">
        <w:t>, Michael Jones</w:t>
      </w:r>
      <w:r w:rsidR="00A969B0" w:rsidRPr="002A1A97">
        <w:rPr>
          <w:vertAlign w:val="superscript"/>
        </w:rPr>
        <w:t>1</w:t>
      </w:r>
    </w:p>
    <w:p w14:paraId="5E9213F0" w14:textId="512D5DEB" w:rsidR="00A969B0" w:rsidRPr="00B6098D" w:rsidRDefault="00A969B0" w:rsidP="008A70AA">
      <w:pPr>
        <w:pStyle w:val="Heading2"/>
        <w:spacing w:after="640"/>
        <w:rPr>
          <w:rStyle w:val="AuthorAffiliationChar"/>
          <w:sz w:val="22"/>
          <w:szCs w:val="18"/>
        </w:rPr>
      </w:pPr>
      <w:r w:rsidRPr="00B6098D">
        <w:rPr>
          <w:sz w:val="22"/>
          <w:szCs w:val="16"/>
          <w:vertAlign w:val="superscript"/>
        </w:rPr>
        <w:t>1</w:t>
      </w:r>
      <w:r w:rsidRPr="00B6098D">
        <w:rPr>
          <w:rStyle w:val="AuthorAffiliationChar"/>
          <w:sz w:val="22"/>
          <w:szCs w:val="18"/>
        </w:rPr>
        <w:t>Westat, 1600 Research Blvd</w:t>
      </w:r>
      <w:r w:rsidR="00785B61">
        <w:rPr>
          <w:rStyle w:val="AuthorAffiliationChar"/>
          <w:sz w:val="22"/>
          <w:szCs w:val="18"/>
        </w:rPr>
        <w:t>.</w:t>
      </w:r>
      <w:r w:rsidRPr="00B6098D">
        <w:rPr>
          <w:rStyle w:val="AuthorAffiliationChar"/>
          <w:sz w:val="22"/>
          <w:szCs w:val="18"/>
        </w:rPr>
        <w:t>, Rockville, MD 20850</w:t>
      </w:r>
    </w:p>
    <w:p w14:paraId="2513B6AE" w14:textId="77777777" w:rsidR="00A969B0" w:rsidRPr="002A1A97" w:rsidRDefault="00A969B0" w:rsidP="00600ACE">
      <w:pPr>
        <w:pStyle w:val="Heading4"/>
        <w:rPr>
          <w:i/>
          <w:iCs/>
        </w:rPr>
      </w:pPr>
      <w:r w:rsidRPr="002A1A97">
        <w:t>Abstract</w:t>
      </w:r>
    </w:p>
    <w:p w14:paraId="0A13ABEA" w14:textId="76912C5C" w:rsidR="00A471C8" w:rsidRDefault="00A969B0" w:rsidP="00600ACE">
      <w:pPr>
        <w:pStyle w:val="L1-FlLSp12"/>
      </w:pPr>
      <w:r w:rsidRPr="002A1A97">
        <w:t xml:space="preserve">Nonresponse adjustments are often performed on survey weights to reduce </w:t>
      </w:r>
      <w:r>
        <w:t xml:space="preserve">the </w:t>
      </w:r>
      <w:r w:rsidRPr="002A1A97">
        <w:t>bias of estimates when analyzing complex sample survey data. Several algorithms are available when modeling survey nonresponse for these adjustments</w:t>
      </w:r>
      <w:r w:rsidR="00000E76">
        <w:t xml:space="preserve">, each performing well under different scenarios. </w:t>
      </w:r>
      <w:r w:rsidR="00000E76" w:rsidRPr="00D869CC">
        <w:t>Lin, Cecere, Jones, and Kali (2022)</w:t>
      </w:r>
      <w:r w:rsidR="00000E76">
        <w:t xml:space="preserve"> found that </w:t>
      </w:r>
      <w:r w:rsidR="00CE05EA">
        <w:t xml:space="preserve">the </w:t>
      </w:r>
      <w:r w:rsidR="00000E76">
        <w:t>amount of bias reduction in the weights varied by choice of algorithm</w:t>
      </w:r>
      <w:r w:rsidR="00A471C8">
        <w:t>.</w:t>
      </w:r>
      <w:r w:rsidR="00000E76">
        <w:t xml:space="preserve"> </w:t>
      </w:r>
      <w:r w:rsidR="00A471C8">
        <w:t>Nonresponse bias is a function of the predictor, the response mechanism</w:t>
      </w:r>
      <w:r w:rsidR="007F2841">
        <w:t>,</w:t>
      </w:r>
      <w:r w:rsidR="00A471C8">
        <w:t xml:space="preserve"> and the survey outcome (</w:t>
      </w:r>
      <w:r w:rsidR="00A471C8" w:rsidRPr="00D869CC">
        <w:t>Little and Vartivarian 2005</w:t>
      </w:r>
      <w:r w:rsidR="00A471C8">
        <w:t xml:space="preserve">). </w:t>
      </w:r>
      <w:r w:rsidR="00000E76" w:rsidRPr="002A1A97">
        <w:t>In this paper</w:t>
      </w:r>
      <w:r w:rsidR="00000E76">
        <w:t>,</w:t>
      </w:r>
      <w:r w:rsidR="00000E76" w:rsidRPr="002A1A97">
        <w:t xml:space="preserve"> we investigate the sensitivity of select classification tree-based algorithms by conducting a simulation study of a </w:t>
      </w:r>
      <w:r w:rsidR="00A471C8">
        <w:t>clustered</w:t>
      </w:r>
      <w:r w:rsidR="00000E76" w:rsidRPr="002A1A97">
        <w:t xml:space="preserve"> sample design </w:t>
      </w:r>
      <w:r w:rsidR="00A471C8">
        <w:t xml:space="preserve">under a variety of conditions, varying the correlation of the predictor with the response mechanism and survey outcome. We also consider the effectiveness of including design weights when </w:t>
      </w:r>
      <w:r w:rsidR="001A1514">
        <w:t xml:space="preserve">modeling nonresponse. </w:t>
      </w:r>
      <w:r w:rsidR="00A471C8">
        <w:t>We compared survey estimates to evaluate the available algorithms on reducing nonresponse bias</w:t>
      </w:r>
      <w:r w:rsidR="001A1514">
        <w:t xml:space="preserve"> under various simulated conditions</w:t>
      </w:r>
      <w:r w:rsidR="00A471C8">
        <w:t>.</w:t>
      </w:r>
    </w:p>
    <w:p w14:paraId="3072C357" w14:textId="77777777" w:rsidR="00A969B0" w:rsidRPr="002A1A97" w:rsidRDefault="00A969B0" w:rsidP="008A70AA">
      <w:pPr>
        <w:pStyle w:val="L1-FlLSp12"/>
      </w:pPr>
    </w:p>
    <w:p w14:paraId="3DBCA817" w14:textId="45A844D8" w:rsidR="00A969B0" w:rsidRPr="002A1A97" w:rsidRDefault="00A969B0" w:rsidP="008A70AA">
      <w:pPr>
        <w:pStyle w:val="L1-FlLSp12"/>
      </w:pPr>
      <w:r w:rsidRPr="002A1A97">
        <w:rPr>
          <w:b/>
        </w:rPr>
        <w:t>Key Words:</w:t>
      </w:r>
      <w:r w:rsidRPr="002A1A97">
        <w:t xml:space="preserve"> classification trees, nonresponse bias, response propensities, design weights, survey weights</w:t>
      </w:r>
      <w:r w:rsidR="00621F9A">
        <w:t>, recursive partitioning</w:t>
      </w:r>
    </w:p>
    <w:p w14:paraId="61FA5600" w14:textId="645AEB35" w:rsidR="00600717" w:rsidRDefault="00600717" w:rsidP="008A70AA">
      <w:pPr>
        <w:pStyle w:val="L1-FlLSp12"/>
      </w:pPr>
    </w:p>
    <w:p w14:paraId="4F9D7C9C" w14:textId="1B839C39" w:rsidR="00767E3F" w:rsidRDefault="00767E3F" w:rsidP="008A70AA">
      <w:pPr>
        <w:pStyle w:val="L1-FlLSp12"/>
      </w:pPr>
    </w:p>
    <w:p w14:paraId="1FCEB6AB" w14:textId="3ADF93ED" w:rsidR="00767E3F" w:rsidRPr="00600ACE" w:rsidRDefault="006D082C" w:rsidP="00600ACE">
      <w:pPr>
        <w:pStyle w:val="C1-CtrBoldHd"/>
      </w:pPr>
      <w:r>
        <w:t>1. Introduction</w:t>
      </w:r>
    </w:p>
    <w:p w14:paraId="0B0F2999" w14:textId="40A35F7C" w:rsidR="00767E3F" w:rsidRDefault="00084C83" w:rsidP="00600ACE">
      <w:pPr>
        <w:pStyle w:val="L1-FlLSp12"/>
      </w:pPr>
      <w:r w:rsidRPr="00556BE7">
        <w:t xml:space="preserve">Missing information </w:t>
      </w:r>
      <w:r w:rsidR="001C35E1">
        <w:t>resulting</w:t>
      </w:r>
      <w:r w:rsidRPr="00556BE7">
        <w:t xml:space="preserve"> from sampled units who refuse to participate can negatively impact the quality of the estimates made from the survey data. </w:t>
      </w:r>
      <w:r w:rsidR="00556BE7" w:rsidRPr="00556BE7">
        <w:t xml:space="preserve">Many methods are available to adjust </w:t>
      </w:r>
      <w:r w:rsidR="001A1514">
        <w:t xml:space="preserve">design </w:t>
      </w:r>
      <w:r w:rsidR="00556BE7" w:rsidRPr="00556BE7">
        <w:t xml:space="preserve">weights to account for </w:t>
      </w:r>
      <w:r>
        <w:t>unit nonresponse</w:t>
      </w:r>
      <w:r w:rsidR="00992412">
        <w:t xml:space="preserve"> </w:t>
      </w:r>
      <w:r w:rsidR="001A1514">
        <w:t xml:space="preserve">(see </w:t>
      </w:r>
      <w:r w:rsidR="00556BE7" w:rsidRPr="00D869CC">
        <w:t xml:space="preserve">Brick </w:t>
      </w:r>
      <w:r w:rsidR="000D0641" w:rsidRPr="00D869CC">
        <w:t>and</w:t>
      </w:r>
      <w:r w:rsidR="0023054D" w:rsidRPr="00D869CC">
        <w:t xml:space="preserve"> </w:t>
      </w:r>
      <w:r w:rsidR="00556BE7" w:rsidRPr="00D869CC">
        <w:t>Montaquila 2009</w:t>
      </w:r>
      <w:r w:rsidR="00556BE7" w:rsidRPr="00556BE7">
        <w:t>)</w:t>
      </w:r>
      <w:r w:rsidR="00621F9A">
        <w:t>. The goal of</w:t>
      </w:r>
      <w:r w:rsidR="004C1D2F" w:rsidRPr="00556BE7">
        <w:t xml:space="preserve"> adjust</w:t>
      </w:r>
      <w:r w:rsidR="00621F9A">
        <w:t xml:space="preserve">ing design </w:t>
      </w:r>
      <w:r w:rsidR="004C1D2F" w:rsidRPr="00556BE7">
        <w:t>weights</w:t>
      </w:r>
      <w:r w:rsidR="001A1514">
        <w:t xml:space="preserve"> </w:t>
      </w:r>
      <w:r w:rsidR="00621F9A">
        <w:t xml:space="preserve">for nonresponse is to </w:t>
      </w:r>
      <w:r w:rsidR="004C1D2F" w:rsidRPr="00556BE7">
        <w:t xml:space="preserve">produce estimates with reduced nonresponse bias while minimizing their variance. </w:t>
      </w:r>
      <w:r w:rsidR="001A1514">
        <w:t>The weighting-class adjustment method is a</w:t>
      </w:r>
      <w:r w:rsidR="004C1D2F" w:rsidRPr="00556BE7">
        <w:t xml:space="preserve"> popular method </w:t>
      </w:r>
      <w:r w:rsidR="001A1514">
        <w:t xml:space="preserve">to adjust design </w:t>
      </w:r>
      <w:r w:rsidR="00621F9A">
        <w:t xml:space="preserve">weights </w:t>
      </w:r>
      <w:r w:rsidR="001A1514">
        <w:t>for nonresponse</w:t>
      </w:r>
      <w:r w:rsidR="004C1D2F" w:rsidRPr="00556BE7">
        <w:t xml:space="preserve"> </w:t>
      </w:r>
      <w:r w:rsidR="004C1D2F" w:rsidRPr="00556BE7">
        <w:rPr>
          <w:noProof/>
        </w:rPr>
        <w:t>(</w:t>
      </w:r>
      <w:r w:rsidR="004C1D2F" w:rsidRPr="00D869CC">
        <w:rPr>
          <w:noProof/>
        </w:rPr>
        <w:t xml:space="preserve">Lessler </w:t>
      </w:r>
      <w:r w:rsidR="000D0641" w:rsidRPr="00D869CC">
        <w:rPr>
          <w:noProof/>
        </w:rPr>
        <w:t>and</w:t>
      </w:r>
      <w:r w:rsidR="004C1D2F" w:rsidRPr="00D869CC">
        <w:rPr>
          <w:noProof/>
        </w:rPr>
        <w:t xml:space="preserve"> Kalsbeek 1992</w:t>
      </w:r>
      <w:r w:rsidR="004C1D2F" w:rsidRPr="00556BE7">
        <w:rPr>
          <w:noProof/>
        </w:rPr>
        <w:t>). The weighting classes are created either by fitting regression models to predict response propensity and making cutpoints of the estimated propensity or by utilizing terminal nodes of classification or regression trees</w:t>
      </w:r>
      <w:r w:rsidR="004C1D2F" w:rsidRPr="00556BE7">
        <w:t xml:space="preserve"> (</w:t>
      </w:r>
      <w:r w:rsidR="004C1D2F" w:rsidRPr="00D869CC">
        <w:t>Lohr</w:t>
      </w:r>
      <w:r w:rsidR="00422FAB" w:rsidRPr="00D869CC">
        <w:t xml:space="preserve">, Hsu, and Montaquila </w:t>
      </w:r>
      <w:r w:rsidR="004C1D2F" w:rsidRPr="00D869CC">
        <w:t>2015</w:t>
      </w:r>
      <w:r w:rsidR="004C1D2F" w:rsidRPr="00556BE7">
        <w:t>).</w:t>
      </w:r>
    </w:p>
    <w:p w14:paraId="5FBB8DB3" w14:textId="77777777" w:rsidR="00767E3F" w:rsidRDefault="00767E3F" w:rsidP="00600ACE">
      <w:pPr>
        <w:pStyle w:val="L1-FlLSp12"/>
      </w:pPr>
    </w:p>
    <w:p w14:paraId="7F0645A2" w14:textId="2E3AC324" w:rsidR="009A6447" w:rsidRDefault="00621F9A" w:rsidP="00600ACE">
      <w:pPr>
        <w:pStyle w:val="L1-FlLSp12"/>
      </w:pPr>
      <w:r>
        <w:t>The focus of t</w:t>
      </w:r>
      <w:r w:rsidR="004C1D2F">
        <w:t xml:space="preserve">his paper </w:t>
      </w:r>
      <w:r>
        <w:t xml:space="preserve">is on formation of </w:t>
      </w:r>
      <w:r w:rsidR="004C1D2F">
        <w:t xml:space="preserve">weighting classes based on the terminal nodes of classification trees fitted to the observed response status (i.e., respondent and nonrespondent). </w:t>
      </w:r>
      <w:r>
        <w:t xml:space="preserve">There are many classification tree software packages available, each with a different underlying model for tree fitting. Others have researched the use of classification trees for nonresponse adjustments. For example, </w:t>
      </w:r>
      <w:r w:rsidR="004C1D2F" w:rsidRPr="00D869CC">
        <w:t>Toth and Phipps (2014)</w:t>
      </w:r>
      <w:r w:rsidR="004C1D2F">
        <w:t xml:space="preserve"> explored the use of regression trees as a tool to study the characteristics of survey nonresponse, and </w:t>
      </w:r>
      <w:r w:rsidR="004C1D2F" w:rsidRPr="00D869CC">
        <w:t>Lohr et al. (2015)</w:t>
      </w:r>
      <w:r w:rsidR="004C1D2F">
        <w:t xml:space="preserve"> compared the estimates </w:t>
      </w:r>
      <w:r w:rsidR="00385507">
        <w:t xml:space="preserve">obtained with </w:t>
      </w:r>
      <w:r w:rsidR="004C1D2F">
        <w:t xml:space="preserve">nonresponse adjusted weights from various classification tree and random forest algorithms. Lohr et al. explored the choices of the parameters for these methods; for example, the inclusion or </w:t>
      </w:r>
      <w:r w:rsidR="004C1D2F">
        <w:lastRenderedPageBreak/>
        <w:t xml:space="preserve">exclusion of survey weights and different pruning methods and loss functions. </w:t>
      </w:r>
      <w:r w:rsidR="00001BD3">
        <w:t xml:space="preserve">Their research favored the conditional inference tree method (i.e., R package </w:t>
      </w:r>
      <w:r w:rsidR="00001BD3">
        <w:rPr>
          <w:i/>
        </w:rPr>
        <w:t>ctree</w:t>
      </w:r>
      <w:r w:rsidR="00001BD3" w:rsidRPr="00151EFC">
        <w:t>,</w:t>
      </w:r>
      <w:r w:rsidR="00001BD3">
        <w:t xml:space="preserve"> explained in Section 2), advised against recursive partitioning (i.e., R package </w:t>
      </w:r>
      <w:r w:rsidR="00001BD3">
        <w:rPr>
          <w:i/>
        </w:rPr>
        <w:t>rpart</w:t>
      </w:r>
      <w:r w:rsidR="00001BD3">
        <w:t xml:space="preserve">), and found no benefit of using survey weights when modeling response propensity. </w:t>
      </w:r>
      <w:r w:rsidR="004C1D2F" w:rsidRPr="00D869CC">
        <w:t xml:space="preserve">Lin </w:t>
      </w:r>
      <w:r w:rsidR="00A45068" w:rsidRPr="00D869CC">
        <w:t xml:space="preserve">and </w:t>
      </w:r>
      <w:r w:rsidR="004C1D2F" w:rsidRPr="00D869CC">
        <w:t>Flores Cervantes (2019)</w:t>
      </w:r>
      <w:r w:rsidR="004C1D2F">
        <w:t xml:space="preserve"> compared nonresponse adjusted estimate</w:t>
      </w:r>
      <w:r w:rsidR="00724CDB">
        <w:t>s</w:t>
      </w:r>
      <w:r w:rsidR="004C1D2F">
        <w:t xml:space="preserve"> based on weighting-class nonresponse adjustments to estimates with weights adjusted using a two-step modeling approach based on the gradient boosting algorithm. </w:t>
      </w:r>
      <w:r w:rsidR="00AC5EEA">
        <w:t>Lin and Flores Cervantes found benefits of the traditional weighting method combined with the recursive partition</w:t>
      </w:r>
      <w:r w:rsidR="00483F1A">
        <w:t>ing</w:t>
      </w:r>
      <w:r w:rsidR="00AC5EEA">
        <w:t xml:space="preserve"> for modeling survey data (i.e., R package </w:t>
      </w:r>
      <w:r w:rsidR="00AC5EEA" w:rsidRPr="00AC5EEA">
        <w:rPr>
          <w:i/>
        </w:rPr>
        <w:t>rpms</w:t>
      </w:r>
      <w:r w:rsidR="00AC5EEA">
        <w:t>) over the two-step modeling approach with gradient boosting.</w:t>
      </w:r>
    </w:p>
    <w:p w14:paraId="383516E1" w14:textId="67BB865C" w:rsidR="009A6447" w:rsidRDefault="009A6447" w:rsidP="008A70AA">
      <w:pPr>
        <w:pStyle w:val="L1-FlLSp12"/>
      </w:pPr>
    </w:p>
    <w:p w14:paraId="201E6259" w14:textId="492026DA" w:rsidR="009A6447" w:rsidRDefault="009A6447" w:rsidP="008A70AA">
      <w:pPr>
        <w:pStyle w:val="L1-FlLSp12"/>
      </w:pPr>
      <w:r w:rsidRPr="00D869CC">
        <w:t>Kott (2012)</w:t>
      </w:r>
      <w:r>
        <w:t xml:space="preserve"> argue</w:t>
      </w:r>
      <w:r w:rsidR="00CE05EA">
        <w:t>d</w:t>
      </w:r>
      <w:r>
        <w:t xml:space="preserve"> that when estimating population means of survey variables that roughly behave as random variables with constant means within weighting classes</w:t>
      </w:r>
      <w:r w:rsidR="00785B61">
        <w:t>,</w:t>
      </w:r>
      <w:r>
        <w:t xml:space="preserve"> incorporating the design weights into the adjustment factors will usually be more efficient than not incorporating them. </w:t>
      </w:r>
      <w:r w:rsidR="00CE05EA">
        <w:t>However, u</w:t>
      </w:r>
      <w:r>
        <w:t xml:space="preserve">nder their conditions, Lohr et al. (2015) found no benefit to using survey weights when building </w:t>
      </w:r>
      <w:r w:rsidR="00CE05EA">
        <w:t xml:space="preserve">the </w:t>
      </w:r>
      <w:r>
        <w:t>classification trees</w:t>
      </w:r>
      <w:r w:rsidR="00CE05EA">
        <w:t xml:space="preserve"> (as opposed to creating weights within the weighting classes derived from the trees)</w:t>
      </w:r>
      <w:r>
        <w:t>.</w:t>
      </w:r>
    </w:p>
    <w:p w14:paraId="5665D540" w14:textId="77777777" w:rsidR="009A6447" w:rsidRDefault="009A6447" w:rsidP="008A70AA">
      <w:pPr>
        <w:pStyle w:val="L1-FlLSp12"/>
      </w:pPr>
    </w:p>
    <w:p w14:paraId="3937F1EE" w14:textId="6955B8E3" w:rsidR="00767E3F" w:rsidRDefault="00001BD3" w:rsidP="00600ACE">
      <w:pPr>
        <w:pStyle w:val="L1-FlLSp12"/>
      </w:pPr>
      <w:r w:rsidRPr="00D869CC">
        <w:t>Cecere et al. (2020)</w:t>
      </w:r>
      <w:r w:rsidR="009A6447">
        <w:t xml:space="preserve"> and </w:t>
      </w:r>
      <w:r w:rsidR="009A6447" w:rsidRPr="00D869CC">
        <w:t>Jones et al. (2021)</w:t>
      </w:r>
      <w:r>
        <w:t xml:space="preserve"> expanded the research of Lohr et al. (2015) and </w:t>
      </w:r>
      <w:r w:rsidRPr="00D869CC">
        <w:t>Lin and Flores Cervantes (2019)</w:t>
      </w:r>
      <w:r>
        <w:t xml:space="preserve"> by comparing additional </w:t>
      </w:r>
      <w:r w:rsidR="0023054D">
        <w:t>tree-building</w:t>
      </w:r>
      <w:r>
        <w:t xml:space="preserve"> algorithms </w:t>
      </w:r>
      <w:r w:rsidR="009A6447">
        <w:t>for stratified and clustered sample designs</w:t>
      </w:r>
      <w:r>
        <w:t xml:space="preserve">. </w:t>
      </w:r>
      <w:r w:rsidR="009A6447">
        <w:t xml:space="preserve">Both </w:t>
      </w:r>
      <w:r>
        <w:t>Cecere et al.</w:t>
      </w:r>
      <w:r w:rsidR="009A6447">
        <w:t xml:space="preserve"> and Jones et al.</w:t>
      </w:r>
      <w:r>
        <w:t xml:space="preserve"> compared the algorithms empirically through a Monte Carlo simulation study using an artificial population and response based on the data from the American Community Survey (ACS) Public Use Microdata Sample (PUMS)</w:t>
      </w:r>
      <w:r w:rsidR="009A6447">
        <w:t xml:space="preserve">. For both stratified (Cecere et al.) and clustered (Jones et al.) designs, </w:t>
      </w:r>
      <w:r>
        <w:t xml:space="preserve">the conditional inference tree method as implemented by the </w:t>
      </w:r>
      <w:r w:rsidRPr="00001BD3">
        <w:rPr>
          <w:i/>
        </w:rPr>
        <w:t>ctree</w:t>
      </w:r>
      <w:r>
        <w:t xml:space="preserve"> package in R produced the most favorable results as measured by empirical bias and variance. </w:t>
      </w:r>
      <w:r w:rsidR="009A6447">
        <w:t>Similar to Lohr et al. (2015), neither Cecere et al.</w:t>
      </w:r>
      <w:r w:rsidR="00CB13DB">
        <w:t xml:space="preserve"> (2020)</w:t>
      </w:r>
      <w:r w:rsidR="009A6447">
        <w:t xml:space="preserve"> </w:t>
      </w:r>
      <w:r w:rsidR="00CB13DB">
        <w:t>nor</w:t>
      </w:r>
      <w:r w:rsidR="009A6447">
        <w:t xml:space="preserve"> Jones et al. </w:t>
      </w:r>
      <w:r w:rsidR="00CB13DB">
        <w:t xml:space="preserve">(2021) </w:t>
      </w:r>
      <w:r w:rsidR="009A6447">
        <w:t xml:space="preserve">found </w:t>
      </w:r>
      <w:r w:rsidR="00CB13DB">
        <w:t>a</w:t>
      </w:r>
      <w:r w:rsidR="009A6447">
        <w:t xml:space="preserve"> benefit in </w:t>
      </w:r>
      <w:r w:rsidR="00CB13DB">
        <w:t>including</w:t>
      </w:r>
      <w:r w:rsidR="009A6447">
        <w:t xml:space="preserve"> design weights in </w:t>
      </w:r>
      <w:r w:rsidR="00CB13DB">
        <w:t>tree classification algorithms when adjusting for nonresponse.</w:t>
      </w:r>
    </w:p>
    <w:p w14:paraId="32491280" w14:textId="77777777" w:rsidR="00767E3F" w:rsidRDefault="00767E3F" w:rsidP="008A70AA">
      <w:pPr>
        <w:pStyle w:val="L1-FlLSp12"/>
      </w:pPr>
    </w:p>
    <w:p w14:paraId="13389115" w14:textId="717F4864" w:rsidR="00C4678E" w:rsidRDefault="00CB13DB" w:rsidP="008A70AA">
      <w:pPr>
        <w:pStyle w:val="L1-FlLSp12"/>
      </w:pPr>
      <w:r>
        <w:t>The limitation of</w:t>
      </w:r>
      <w:r w:rsidR="00C4678E">
        <w:t xml:space="preserve"> the simulation design</w:t>
      </w:r>
      <w:r>
        <w:t xml:space="preserve"> utilized in Cecere et al. (2020) </w:t>
      </w:r>
      <w:r w:rsidR="00C4678E">
        <w:t>and</w:t>
      </w:r>
      <w:r>
        <w:t xml:space="preserve"> Jones et al. (2021) was the reliance on the response in</w:t>
      </w:r>
      <w:r w:rsidR="00C4678E">
        <w:t>dicator from the ACS.</w:t>
      </w:r>
      <w:r w:rsidR="00600ACE">
        <w:t xml:space="preserve"> </w:t>
      </w:r>
      <w:r w:rsidR="00C4678E">
        <w:t xml:space="preserve">While defining the response indicator in this manner </w:t>
      </w:r>
      <w:r>
        <w:t>mirrored reality, there was little control in the simulation design to investigate under which conditions each tree classification software performed best.</w:t>
      </w:r>
      <w:r w:rsidR="00600ACE">
        <w:t xml:space="preserve"> </w:t>
      </w:r>
      <w:r>
        <w:t xml:space="preserve">Nonresponse bias is a function of the predictor, the response </w:t>
      </w:r>
      <w:r w:rsidR="00785B61">
        <w:t>mechanism,</w:t>
      </w:r>
      <w:r>
        <w:t xml:space="preserve"> and the survey outcome (</w:t>
      </w:r>
      <w:r w:rsidRPr="00D869CC">
        <w:t>Little and Vartivarian 2005</w:t>
      </w:r>
      <w:r>
        <w:t xml:space="preserve">). </w:t>
      </w:r>
      <w:r w:rsidR="00107B2D" w:rsidRPr="005360CD">
        <w:t xml:space="preserve">Lin et al. (2022) expanded on the research of Cecere et al. (2020) and Jones et al. (2021) </w:t>
      </w:r>
      <w:r w:rsidR="00C4678E">
        <w:t xml:space="preserve">by recognizing this relationship. Lin et al. (2022) </w:t>
      </w:r>
      <w:r w:rsidR="00107B2D" w:rsidRPr="005360CD">
        <w:t>us</w:t>
      </w:r>
      <w:r w:rsidR="00C4678E">
        <w:t>ed</w:t>
      </w:r>
      <w:r w:rsidR="00107B2D" w:rsidRPr="005360CD">
        <w:t xml:space="preserve"> a synthetic response mechanism to</w:t>
      </w:r>
      <w:r w:rsidR="00C4678E">
        <w:t xml:space="preserve"> interrogate the effect of correlation of the predictor with the response mechanism and survey outcome. Additionally</w:t>
      </w:r>
      <w:bookmarkStart w:id="0" w:name="_GoBack"/>
      <w:bookmarkEnd w:id="0"/>
      <w:r w:rsidR="00C4678E" w:rsidRPr="00281273">
        <w:t>, we</w:t>
      </w:r>
      <w:r w:rsidR="00107B2D" w:rsidRPr="00281273">
        <w:t xml:space="preserve"> evaluate</w:t>
      </w:r>
      <w:r w:rsidR="00107B2D" w:rsidRPr="005360CD">
        <w:t xml:space="preserve"> the use of design weights</w:t>
      </w:r>
      <w:r w:rsidR="00C4678E" w:rsidRPr="00C4678E">
        <w:t xml:space="preserve"> </w:t>
      </w:r>
      <w:r w:rsidR="00C4678E">
        <w:t xml:space="preserve">under conditions where the response propensity is correlated with the design weight. Similar to Cecere et al. (2020), Lin et al. (2022) simulated a stratified sample design using the same pseudo-population and Monte Carlo simulation design as Cecere et al. (2020) and Jones et al. (2021). Again, as with the other studies, the conditional inference tree method as implemented by the </w:t>
      </w:r>
      <w:r w:rsidR="00C4678E" w:rsidRPr="00001BD3">
        <w:rPr>
          <w:i/>
        </w:rPr>
        <w:t>ctree</w:t>
      </w:r>
      <w:r w:rsidR="00C4678E">
        <w:t xml:space="preserve"> package in R produced the most favorable results</w:t>
      </w:r>
      <w:r w:rsidR="008170C9">
        <w:t>,</w:t>
      </w:r>
      <w:r w:rsidR="00C4678E">
        <w:t xml:space="preserve"> and we found no benefit in including design weights in tree classification algorithms when adjusting for nonresponse.</w:t>
      </w:r>
    </w:p>
    <w:p w14:paraId="537CAB9C" w14:textId="77777777" w:rsidR="00C4678E" w:rsidRDefault="00C4678E" w:rsidP="008A70AA">
      <w:pPr>
        <w:pStyle w:val="L1-FlLSp12"/>
      </w:pPr>
    </w:p>
    <w:p w14:paraId="38578693" w14:textId="0CC2C042" w:rsidR="00767E3F" w:rsidRDefault="00C4678E" w:rsidP="00C4678E">
      <w:pPr>
        <w:pStyle w:val="L1-FlLSp12"/>
      </w:pPr>
      <w:r>
        <w:t>This paper examines the simulation conditions from Lin et al. (2022) but with a cluster sample design.</w:t>
      </w:r>
      <w:r w:rsidR="00600ACE">
        <w:t xml:space="preserve"> </w:t>
      </w:r>
      <w:r w:rsidR="004C1D2F" w:rsidRPr="005360CD">
        <w:t>The performance</w:t>
      </w:r>
      <w:r w:rsidR="004C1D2F">
        <w:t xml:space="preserve"> of the </w:t>
      </w:r>
      <w:r w:rsidR="009B7F4F">
        <w:t>tree classification software was</w:t>
      </w:r>
      <w:r w:rsidR="004C1D2F">
        <w:t xml:space="preserve"> evaluated using the empirical bias and variance of the </w:t>
      </w:r>
      <w:r w:rsidR="00724CDB">
        <w:t xml:space="preserve">estimators </w:t>
      </w:r>
      <w:r w:rsidR="004C1D2F">
        <w:t xml:space="preserve">of </w:t>
      </w:r>
      <w:r w:rsidR="00D760CF">
        <w:t>two</w:t>
      </w:r>
      <w:r w:rsidR="004C1D2F">
        <w:t xml:space="preserve"> outcomes.</w:t>
      </w:r>
    </w:p>
    <w:p w14:paraId="10D29996" w14:textId="77777777" w:rsidR="00767E3F" w:rsidRDefault="00767E3F" w:rsidP="008A70AA">
      <w:pPr>
        <w:pStyle w:val="L1-FlLSp12"/>
      </w:pPr>
    </w:p>
    <w:p w14:paraId="696FB3DE" w14:textId="4896F158" w:rsidR="00767E3F" w:rsidRDefault="004C1D2F" w:rsidP="008A70AA">
      <w:pPr>
        <w:pStyle w:val="L1-FlLSp12"/>
      </w:pPr>
      <w:r>
        <w:t xml:space="preserve">The rest of the paper is organized as follows. In </w:t>
      </w:r>
      <w:r w:rsidR="0067341C">
        <w:t>S</w:t>
      </w:r>
      <w:r>
        <w:t xml:space="preserve">ection 2, we describe the nonresponse adjustment algorithms included in the comparisons. Section 3 describes the details of the simulation, such as the source for the population frame, predictors, </w:t>
      </w:r>
      <w:r w:rsidR="00C96FD0">
        <w:t>response defin</w:t>
      </w:r>
      <w:r w:rsidR="00353972">
        <w:t>i</w:t>
      </w:r>
      <w:r w:rsidR="00C96FD0">
        <w:t xml:space="preserve">tions, </w:t>
      </w:r>
      <w:r w:rsidR="00151EFC">
        <w:t xml:space="preserve">and </w:t>
      </w:r>
      <w:r>
        <w:t xml:space="preserve">dependent variables, in addition to the sample design. Section 4 describes the simulation study, </w:t>
      </w:r>
      <w:r w:rsidR="009B7F4F">
        <w:t xml:space="preserve">and </w:t>
      </w:r>
      <w:r>
        <w:t>Section 5 summarizes the simulation results</w:t>
      </w:r>
      <w:r w:rsidR="009B7F4F">
        <w:t xml:space="preserve">. </w:t>
      </w:r>
      <w:r>
        <w:t>We finish in Section 6 with conclusions and recommendations for future research.</w:t>
      </w:r>
    </w:p>
    <w:p w14:paraId="7D542B1B" w14:textId="77777777" w:rsidR="00767E3F" w:rsidRDefault="00767E3F" w:rsidP="0078059D">
      <w:pPr>
        <w:pStyle w:val="L1-FlLSp12"/>
      </w:pPr>
    </w:p>
    <w:p w14:paraId="3F9CD75F" w14:textId="1F5CFFF7" w:rsidR="00767E3F" w:rsidRPr="00600ACE" w:rsidRDefault="004C1D2F" w:rsidP="0078059D">
      <w:pPr>
        <w:pStyle w:val="C1-CtrBoldHd"/>
      </w:pPr>
      <w:r>
        <w:t>2. Nonresponse Weighting Candidate Models</w:t>
      </w:r>
    </w:p>
    <w:p w14:paraId="1D8CE306" w14:textId="61B2C16C" w:rsidR="00767E3F" w:rsidRDefault="0056780A" w:rsidP="0078059D">
      <w:pPr>
        <w:pStyle w:val="L1-FlLSp12"/>
      </w:pPr>
      <w:r>
        <w:t>A large number of</w:t>
      </w:r>
      <w:r w:rsidR="004C1D2F">
        <w:t xml:space="preserve"> tree</w:t>
      </w:r>
      <w:r>
        <w:t>-based</w:t>
      </w:r>
      <w:r w:rsidR="004C1D2F">
        <w:t xml:space="preserve"> algorithms</w:t>
      </w:r>
      <w:r>
        <w:t xml:space="preserve"> have been described</w:t>
      </w:r>
      <w:r w:rsidR="004C1D2F">
        <w:t xml:space="preserve"> </w:t>
      </w:r>
      <w:r w:rsidR="004C1D2F" w:rsidRPr="002A1A1C">
        <w:t xml:space="preserve">in the literature (see </w:t>
      </w:r>
      <w:r w:rsidR="004C1D2F" w:rsidRPr="00D869CC">
        <w:t>Loh 2014</w:t>
      </w:r>
      <w:r w:rsidR="004C1D2F" w:rsidRPr="002A1A1C">
        <w:t xml:space="preserve">). We evaluated </w:t>
      </w:r>
      <w:r w:rsidR="00C6087A">
        <w:t>six</w:t>
      </w:r>
      <w:r w:rsidR="004C1D2F" w:rsidRPr="002A1A1C">
        <w:t xml:space="preserve"> </w:t>
      </w:r>
      <w:r w:rsidR="0023054D">
        <w:t>tree-building</w:t>
      </w:r>
      <w:r w:rsidR="00C6087A">
        <w:t xml:space="preserve"> al</w:t>
      </w:r>
      <w:r w:rsidR="00AC5EEA">
        <w:t>g</w:t>
      </w:r>
      <w:r w:rsidR="00C6087A">
        <w:t>orithms</w:t>
      </w:r>
      <w:r w:rsidR="004C1D2F" w:rsidRPr="002A1A1C">
        <w:t xml:space="preserve"> in this study</w:t>
      </w:r>
      <w:r w:rsidR="00260F52">
        <w:t xml:space="preserve"> (see Table 1)</w:t>
      </w:r>
      <w:r w:rsidR="004C1D2F" w:rsidRPr="002A1A1C">
        <w:t>, which were chosen based on recommendations from the literature.</w:t>
      </w:r>
      <w:r w:rsidR="0078059D" w:rsidRPr="002A1A1C">
        <w:t xml:space="preserve"> </w:t>
      </w:r>
      <w:r w:rsidR="00C6087A">
        <w:t>Three of the methods are impleme</w:t>
      </w:r>
      <w:r w:rsidR="00B96A1E">
        <w:t>nted by packages in R, and two</w:t>
      </w:r>
      <w:r w:rsidR="00C6087A">
        <w:t xml:space="preserve"> of the methods are options unde</w:t>
      </w:r>
      <w:r w:rsidR="008A70AA">
        <w:t>r the HPSPLIT procedure in SAS.</w:t>
      </w:r>
    </w:p>
    <w:p w14:paraId="6CF57631" w14:textId="77777777" w:rsidR="008A70AA" w:rsidRPr="002A1A1C" w:rsidRDefault="008A70AA" w:rsidP="0078059D">
      <w:pPr>
        <w:pStyle w:val="L1-FlLSp12"/>
      </w:pPr>
    </w:p>
    <w:p w14:paraId="420360C1" w14:textId="7951FC0D" w:rsidR="00260F52" w:rsidRDefault="00260F52" w:rsidP="00600ACE">
      <w:pPr>
        <w:pStyle w:val="TT-TableTitle"/>
      </w:pPr>
      <w:r w:rsidRPr="00C66419">
        <w:t>Table 1:</w:t>
      </w:r>
      <w:r w:rsidRPr="00600ACE">
        <w:rPr>
          <w:b w:val="0"/>
          <w:bCs/>
        </w:rPr>
        <w:t xml:space="preserve"> Tree-</w:t>
      </w:r>
      <w:r w:rsidR="005248C5" w:rsidRPr="00600ACE">
        <w:rPr>
          <w:b w:val="0"/>
          <w:bCs/>
        </w:rPr>
        <w:t>b</w:t>
      </w:r>
      <w:r w:rsidRPr="00600ACE">
        <w:rPr>
          <w:b w:val="0"/>
          <w:bCs/>
        </w:rPr>
        <w:t xml:space="preserve">uilding </w:t>
      </w:r>
      <w:r w:rsidR="005248C5" w:rsidRPr="00600ACE">
        <w:rPr>
          <w:b w:val="0"/>
          <w:bCs/>
        </w:rPr>
        <w:t>a</w:t>
      </w:r>
      <w:r w:rsidRPr="00600ACE">
        <w:rPr>
          <w:b w:val="0"/>
          <w:bCs/>
        </w:rPr>
        <w:t xml:space="preserve">lgorithms </w:t>
      </w:r>
      <w:r w:rsidR="005248C5" w:rsidRPr="00600ACE">
        <w:rPr>
          <w:b w:val="0"/>
          <w:bCs/>
        </w:rPr>
        <w:t>e</w:t>
      </w:r>
      <w:r w:rsidRPr="00600ACE">
        <w:rPr>
          <w:b w:val="0"/>
          <w:bCs/>
        </w:rPr>
        <w:t>valuated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5381"/>
      </w:tblGrid>
      <w:tr w:rsidR="00260F52" w14:paraId="36BB4EDC" w14:textId="77777777" w:rsidTr="00600ACE">
        <w:trPr>
          <w:jc w:val="center"/>
        </w:trPr>
        <w:tc>
          <w:tcPr>
            <w:tcW w:w="1603" w:type="pct"/>
            <w:tcBorders>
              <w:top w:val="single" w:sz="4" w:space="0" w:color="auto"/>
              <w:bottom w:val="single" w:sz="4" w:space="0" w:color="auto"/>
            </w:tcBorders>
            <w:vAlign w:val="center"/>
          </w:tcPr>
          <w:p w14:paraId="2053059B" w14:textId="77777777" w:rsidR="00260F52" w:rsidRPr="00C66419" w:rsidRDefault="00260F52" w:rsidP="004578D9">
            <w:pPr>
              <w:pStyle w:val="TH-TableHeading"/>
            </w:pPr>
            <w:r w:rsidRPr="00C66419">
              <w:t>Program</w:t>
            </w:r>
          </w:p>
        </w:tc>
        <w:tc>
          <w:tcPr>
            <w:tcW w:w="3397" w:type="pct"/>
            <w:tcBorders>
              <w:top w:val="single" w:sz="4" w:space="0" w:color="auto"/>
              <w:bottom w:val="single" w:sz="4" w:space="0" w:color="auto"/>
            </w:tcBorders>
            <w:vAlign w:val="center"/>
          </w:tcPr>
          <w:p w14:paraId="2C0AD5DD" w14:textId="77777777" w:rsidR="00260F52" w:rsidRPr="00C66419" w:rsidRDefault="00260F52" w:rsidP="004578D9">
            <w:pPr>
              <w:pStyle w:val="TH-TableHeading"/>
            </w:pPr>
            <w:r w:rsidRPr="00C66419">
              <w:t>Algorithm</w:t>
            </w:r>
          </w:p>
        </w:tc>
      </w:tr>
      <w:tr w:rsidR="00E77B47" w14:paraId="77000D71" w14:textId="77777777" w:rsidTr="00600ACE">
        <w:trPr>
          <w:jc w:val="center"/>
        </w:trPr>
        <w:tc>
          <w:tcPr>
            <w:tcW w:w="5000" w:type="pct"/>
            <w:gridSpan w:val="2"/>
            <w:tcBorders>
              <w:top w:val="single" w:sz="4" w:space="0" w:color="auto"/>
            </w:tcBorders>
          </w:tcPr>
          <w:p w14:paraId="3AEB7BFB" w14:textId="7A19226A" w:rsidR="00E77B47" w:rsidRDefault="00E77B47" w:rsidP="0064367C">
            <w:pPr>
              <w:pStyle w:val="TX-TableText"/>
            </w:pPr>
            <w:r w:rsidRPr="00C66419">
              <w:rPr>
                <w:i/>
              </w:rPr>
              <w:t>R Package</w:t>
            </w:r>
          </w:p>
        </w:tc>
      </w:tr>
      <w:tr w:rsidR="00260F52" w14:paraId="2C13A6F4" w14:textId="77777777" w:rsidTr="00600ACE">
        <w:trPr>
          <w:jc w:val="center"/>
        </w:trPr>
        <w:tc>
          <w:tcPr>
            <w:tcW w:w="1603" w:type="pct"/>
          </w:tcPr>
          <w:p w14:paraId="5810B045" w14:textId="77777777" w:rsidR="00260F52" w:rsidRDefault="00260F52" w:rsidP="00AF3DFF">
            <w:pPr>
              <w:pStyle w:val="L1-FlLSp12"/>
              <w:spacing w:line="240" w:lineRule="atLeast"/>
              <w:ind w:left="249"/>
            </w:pPr>
            <w:r>
              <w:t>partykit</w:t>
            </w:r>
          </w:p>
        </w:tc>
        <w:tc>
          <w:tcPr>
            <w:tcW w:w="3397" w:type="pct"/>
          </w:tcPr>
          <w:p w14:paraId="1347299A" w14:textId="77777777" w:rsidR="00260F52" w:rsidRDefault="00260F52" w:rsidP="0064367C">
            <w:pPr>
              <w:pStyle w:val="TX-TableText"/>
            </w:pPr>
            <w:r w:rsidRPr="002A1A1C">
              <w:t>Conditional Inference Tree (</w:t>
            </w:r>
            <w:r w:rsidRPr="002A1A1C">
              <w:rPr>
                <w:i/>
              </w:rPr>
              <w:t>ctree</w:t>
            </w:r>
            <w:r w:rsidRPr="002A1A1C">
              <w:t>)</w:t>
            </w:r>
          </w:p>
        </w:tc>
      </w:tr>
      <w:tr w:rsidR="00260F52" w14:paraId="4D851AE8" w14:textId="77777777" w:rsidTr="00600ACE">
        <w:trPr>
          <w:jc w:val="center"/>
        </w:trPr>
        <w:tc>
          <w:tcPr>
            <w:tcW w:w="1603" w:type="pct"/>
          </w:tcPr>
          <w:p w14:paraId="08F8A65A" w14:textId="77777777" w:rsidR="00260F52" w:rsidRDefault="00260F52" w:rsidP="00AF3DFF">
            <w:pPr>
              <w:pStyle w:val="L1-FlLSp12"/>
              <w:spacing w:line="240" w:lineRule="atLeast"/>
              <w:ind w:left="249"/>
            </w:pPr>
            <w:r>
              <w:t>REEMTree</w:t>
            </w:r>
          </w:p>
        </w:tc>
        <w:tc>
          <w:tcPr>
            <w:tcW w:w="3397" w:type="pct"/>
          </w:tcPr>
          <w:p w14:paraId="461277A7" w14:textId="77777777" w:rsidR="00260F52" w:rsidRDefault="00260F52" w:rsidP="0064367C">
            <w:pPr>
              <w:pStyle w:val="TX-TableText"/>
            </w:pPr>
            <w:r w:rsidRPr="002A1A1C">
              <w:t>Random Effects Models (</w:t>
            </w:r>
            <w:r w:rsidRPr="002A1A1C">
              <w:rPr>
                <w:i/>
              </w:rPr>
              <w:t>REEM</w:t>
            </w:r>
            <w:r w:rsidRPr="002A1A1C">
              <w:t>)</w:t>
            </w:r>
          </w:p>
        </w:tc>
      </w:tr>
      <w:tr w:rsidR="00260F52" w14:paraId="0107D385" w14:textId="77777777" w:rsidTr="00600ACE">
        <w:trPr>
          <w:jc w:val="center"/>
        </w:trPr>
        <w:tc>
          <w:tcPr>
            <w:tcW w:w="1603" w:type="pct"/>
            <w:tcBorders>
              <w:bottom w:val="single" w:sz="4" w:space="0" w:color="auto"/>
            </w:tcBorders>
          </w:tcPr>
          <w:p w14:paraId="06661CF0" w14:textId="77777777" w:rsidR="00260F52" w:rsidRDefault="00260F52" w:rsidP="00AF3DFF">
            <w:pPr>
              <w:pStyle w:val="L1-FlLSp12"/>
              <w:spacing w:line="240" w:lineRule="atLeast"/>
              <w:ind w:left="249"/>
            </w:pPr>
            <w:r>
              <w:t>rpms</w:t>
            </w:r>
          </w:p>
        </w:tc>
        <w:tc>
          <w:tcPr>
            <w:tcW w:w="3397" w:type="pct"/>
            <w:tcBorders>
              <w:bottom w:val="single" w:sz="4" w:space="0" w:color="auto"/>
            </w:tcBorders>
          </w:tcPr>
          <w:p w14:paraId="1670D0D2" w14:textId="77777777" w:rsidR="00260F52" w:rsidRDefault="00260F52" w:rsidP="0064367C">
            <w:pPr>
              <w:pStyle w:val="TX-TableText"/>
            </w:pPr>
            <w:r>
              <w:t>Recursive Partitioning for Modeling Survey Data (</w:t>
            </w:r>
            <w:r>
              <w:rPr>
                <w:i/>
              </w:rPr>
              <w:t>rpms</w:t>
            </w:r>
            <w:r>
              <w:t>)</w:t>
            </w:r>
          </w:p>
        </w:tc>
      </w:tr>
      <w:tr w:rsidR="00E77B47" w14:paraId="6E106234" w14:textId="77777777" w:rsidTr="00600ACE">
        <w:trPr>
          <w:jc w:val="center"/>
        </w:trPr>
        <w:tc>
          <w:tcPr>
            <w:tcW w:w="5000" w:type="pct"/>
            <w:gridSpan w:val="2"/>
            <w:tcBorders>
              <w:top w:val="single" w:sz="4" w:space="0" w:color="auto"/>
            </w:tcBorders>
          </w:tcPr>
          <w:p w14:paraId="52F3CD1B" w14:textId="1098CC82" w:rsidR="00E77B47" w:rsidRDefault="00E77B47" w:rsidP="0064367C">
            <w:pPr>
              <w:pStyle w:val="TX-TableText"/>
            </w:pPr>
            <w:r>
              <w:t>SAS</w:t>
            </w:r>
          </w:p>
        </w:tc>
      </w:tr>
      <w:tr w:rsidR="00260F52" w14:paraId="250EDB6C" w14:textId="77777777" w:rsidTr="00600ACE">
        <w:trPr>
          <w:jc w:val="center"/>
        </w:trPr>
        <w:tc>
          <w:tcPr>
            <w:tcW w:w="1603" w:type="pct"/>
          </w:tcPr>
          <w:p w14:paraId="059461E0" w14:textId="77777777" w:rsidR="00260F52" w:rsidRDefault="00260F52" w:rsidP="00AF3DFF">
            <w:pPr>
              <w:pStyle w:val="L1-FlLSp12"/>
              <w:spacing w:line="240" w:lineRule="atLeast"/>
              <w:ind w:left="249"/>
            </w:pPr>
            <w:r>
              <w:t>HPSLIT Procedure</w:t>
            </w:r>
          </w:p>
        </w:tc>
        <w:tc>
          <w:tcPr>
            <w:tcW w:w="3397" w:type="pct"/>
          </w:tcPr>
          <w:p w14:paraId="287B80F4" w14:textId="77777777" w:rsidR="00260F52" w:rsidRDefault="00260F52" w:rsidP="0064367C">
            <w:pPr>
              <w:pStyle w:val="TX-TableText"/>
            </w:pPr>
            <w:r>
              <w:t>CHAID - Node splits based on statistical tests</w:t>
            </w:r>
          </w:p>
        </w:tc>
      </w:tr>
      <w:tr w:rsidR="00260F52" w14:paraId="1B67FF37" w14:textId="77777777" w:rsidTr="00600ACE">
        <w:trPr>
          <w:jc w:val="center"/>
        </w:trPr>
        <w:tc>
          <w:tcPr>
            <w:tcW w:w="1603" w:type="pct"/>
            <w:tcBorders>
              <w:bottom w:val="single" w:sz="4" w:space="0" w:color="auto"/>
            </w:tcBorders>
          </w:tcPr>
          <w:p w14:paraId="427020F3" w14:textId="77777777" w:rsidR="00260F52" w:rsidRDefault="00260F52" w:rsidP="00AF3DFF">
            <w:pPr>
              <w:pStyle w:val="L1-FlLSp12"/>
              <w:spacing w:line="240" w:lineRule="atLeast"/>
              <w:ind w:left="249"/>
            </w:pPr>
            <w:r>
              <w:t>HPSLIT Procedure</w:t>
            </w:r>
          </w:p>
        </w:tc>
        <w:tc>
          <w:tcPr>
            <w:tcW w:w="3397" w:type="pct"/>
            <w:tcBorders>
              <w:bottom w:val="single" w:sz="4" w:space="0" w:color="auto"/>
            </w:tcBorders>
          </w:tcPr>
          <w:p w14:paraId="62ACD4AE" w14:textId="77777777" w:rsidR="00260F52" w:rsidRDefault="00260F52" w:rsidP="0064367C">
            <w:pPr>
              <w:pStyle w:val="TX-TableText"/>
            </w:pPr>
            <w:r>
              <w:t>Entropy - Node splits based on impurity</w:t>
            </w:r>
          </w:p>
        </w:tc>
      </w:tr>
    </w:tbl>
    <w:p w14:paraId="7FB698F3" w14:textId="7ECC4870" w:rsidR="00260F52" w:rsidRDefault="00260F52" w:rsidP="00260F52">
      <w:pPr>
        <w:pStyle w:val="L1-FlLSp12"/>
      </w:pPr>
    </w:p>
    <w:p w14:paraId="73773D09" w14:textId="54DC251B" w:rsidR="00767E3F" w:rsidRDefault="00E474E0" w:rsidP="0078059D">
      <w:pPr>
        <w:pStyle w:val="L1-FlLSp12"/>
      </w:pPr>
      <w:r>
        <w:t xml:space="preserve">The </w:t>
      </w:r>
      <w:r w:rsidRPr="00E474E0">
        <w:rPr>
          <w:i/>
        </w:rPr>
        <w:t>ctree</w:t>
      </w:r>
      <w:r>
        <w:t xml:space="preserve"> and </w:t>
      </w:r>
      <w:r w:rsidRPr="00E474E0">
        <w:rPr>
          <w:i/>
        </w:rPr>
        <w:t>REEM</w:t>
      </w:r>
      <w:r>
        <w:t xml:space="preserve"> algorithms performed well in Lohr et al. (2015)</w:t>
      </w:r>
      <w:r w:rsidR="00C41A97">
        <w:t xml:space="preserve"> and were therefore included in our research</w:t>
      </w:r>
      <w:r>
        <w:t xml:space="preserve">. The </w:t>
      </w:r>
      <w:r w:rsidRPr="00E474E0">
        <w:rPr>
          <w:i/>
        </w:rPr>
        <w:t>rpms</w:t>
      </w:r>
      <w:r>
        <w:t xml:space="preserve"> algorithm is a relatively new method</w:t>
      </w:r>
      <w:r w:rsidR="00F23C09">
        <w:t xml:space="preserve"> </w:t>
      </w:r>
      <w:r>
        <w:t>developed specifically to account for complex survey design</w:t>
      </w:r>
      <w:r w:rsidR="00ED2127">
        <w:t>s</w:t>
      </w:r>
      <w:r>
        <w:t xml:space="preserve"> by treating weights appropriately. </w:t>
      </w:r>
      <w:r w:rsidR="00AC5EEA">
        <w:t xml:space="preserve">This algorithm was favored </w:t>
      </w:r>
      <w:r w:rsidR="00A71496">
        <w:t>by</w:t>
      </w:r>
      <w:r w:rsidR="00AC5EEA">
        <w:t xml:space="preserve"> Lin and Flores Cervantes (2019). </w:t>
      </w:r>
      <w:r w:rsidR="00E65331">
        <w:t>We include t</w:t>
      </w:r>
      <w:r>
        <w:t xml:space="preserve">he </w:t>
      </w:r>
      <w:r w:rsidR="00DB556D">
        <w:t>c</w:t>
      </w:r>
      <w:r w:rsidR="00DB556D" w:rsidRPr="00DB556D">
        <w:t>hi-square automatic interaction detection</w:t>
      </w:r>
      <w:r w:rsidR="00DB556D">
        <w:t xml:space="preserve"> (</w:t>
      </w:r>
      <w:r>
        <w:t>CHAID</w:t>
      </w:r>
      <w:r w:rsidR="00DB556D">
        <w:t>)</w:t>
      </w:r>
      <w:r>
        <w:t xml:space="preserve"> algorithm </w:t>
      </w:r>
      <w:r w:rsidR="00F23C09">
        <w:t xml:space="preserve">via the SAS HPSPLIT procedure </w:t>
      </w:r>
      <w:r w:rsidR="00E65331">
        <w:t xml:space="preserve">because </w:t>
      </w:r>
      <w:r w:rsidR="00F23C09">
        <w:t xml:space="preserve">CHAID </w:t>
      </w:r>
      <w:r>
        <w:t>is a popular choice for creating nonresponse adjustment cells</w:t>
      </w:r>
      <w:r w:rsidR="00C41A97">
        <w:t>. Lin</w:t>
      </w:r>
      <w:r w:rsidR="00997BF1">
        <w:t>, Flores Cervantes, and Kwanisai</w:t>
      </w:r>
      <w:r w:rsidR="0014213D">
        <w:t xml:space="preserve"> </w:t>
      </w:r>
      <w:r w:rsidR="00C41A97">
        <w:t>(2021) compare</w:t>
      </w:r>
      <w:r w:rsidR="00107B2D">
        <w:t>d</w:t>
      </w:r>
      <w:r w:rsidR="00C41A97">
        <w:t xml:space="preserve"> two implementations of the CHAID method</w:t>
      </w:r>
      <w:r w:rsidR="00C45E98">
        <w:t xml:space="preserve">: </w:t>
      </w:r>
      <w:r w:rsidR="00C41A97">
        <w:t xml:space="preserve">SI-CHAID and the CHAID option under the HPSPLIT procedure in SAS. They found that under the conditions of their study, empirical bias and variance were not affected by differences between the two implementations. </w:t>
      </w:r>
      <w:r w:rsidR="00E65331">
        <w:t xml:space="preserve">We round out our list of algorithms with </w:t>
      </w:r>
      <w:r w:rsidR="00B96A1E">
        <w:t>a</w:t>
      </w:r>
      <w:r w:rsidR="00F23C09">
        <w:t xml:space="preserve"> measure of imp</w:t>
      </w:r>
      <w:r w:rsidR="00B96A1E">
        <w:t>urity used to split tree nodes using the entropy option</w:t>
      </w:r>
      <w:r w:rsidR="00E65331">
        <w:t xml:space="preserve"> under HPSPLIT. </w:t>
      </w:r>
      <w:r w:rsidR="001C35E1">
        <w:t>We present m</w:t>
      </w:r>
      <w:r w:rsidR="002906E2">
        <w:t>ore detail</w:t>
      </w:r>
      <w:r w:rsidR="00652597">
        <w:t>s</w:t>
      </w:r>
      <w:r w:rsidR="002906E2">
        <w:t xml:space="preserve"> on each of these algorithms in the following sections.</w:t>
      </w:r>
    </w:p>
    <w:p w14:paraId="406D7FC6" w14:textId="77777777" w:rsidR="00767E3F" w:rsidRDefault="00767E3F" w:rsidP="0078059D">
      <w:pPr>
        <w:pStyle w:val="L1-FlLSp12"/>
      </w:pPr>
    </w:p>
    <w:p w14:paraId="4188897A" w14:textId="2AF8C0C9" w:rsidR="00767E3F" w:rsidRDefault="00E45184" w:rsidP="0078059D">
      <w:pPr>
        <w:pStyle w:val="Heading4"/>
      </w:pPr>
      <w:r>
        <w:t>2</w:t>
      </w:r>
      <w:r w:rsidR="004C1D2F">
        <w:t>.</w:t>
      </w:r>
      <w:r w:rsidR="00260F52">
        <w:t>1</w:t>
      </w:r>
      <w:r w:rsidR="004C1D2F">
        <w:t xml:space="preserve"> </w:t>
      </w:r>
      <w:r w:rsidR="004C1D2F">
        <w:rPr>
          <w:i/>
        </w:rPr>
        <w:t>ctree</w:t>
      </w:r>
      <w:r w:rsidR="004C1D2F">
        <w:t xml:space="preserve"> </w:t>
      </w:r>
      <w:r w:rsidR="0078059D">
        <w:t>A</w:t>
      </w:r>
      <w:r w:rsidR="004C1D2F">
        <w:t>lgorithm</w:t>
      </w:r>
    </w:p>
    <w:p w14:paraId="2E0EE9A2" w14:textId="158EA3FA" w:rsidR="00767E3F" w:rsidRDefault="00E868B3" w:rsidP="007F20D9">
      <w:pPr>
        <w:pStyle w:val="L1-FlLSp12"/>
      </w:pPr>
      <w:r>
        <w:t xml:space="preserve">In the R </w:t>
      </w:r>
      <w:r w:rsidR="004C1D2F">
        <w:t xml:space="preserve">package </w:t>
      </w:r>
      <w:r w:rsidR="00FB253B">
        <w:t>partykit</w:t>
      </w:r>
      <w:r w:rsidR="004C1D2F">
        <w:t xml:space="preserve"> (</w:t>
      </w:r>
      <w:r w:rsidR="00AF3DFF" w:rsidRPr="00D869CC">
        <w:t xml:space="preserve">Hothorn </w:t>
      </w:r>
      <w:r w:rsidR="00A71496" w:rsidRPr="00D869CC">
        <w:t>and</w:t>
      </w:r>
      <w:r w:rsidR="00AF3DFF" w:rsidRPr="00D869CC">
        <w:t xml:space="preserve"> Zeileis 2015</w:t>
      </w:r>
      <w:r w:rsidR="004C1D2F" w:rsidRPr="002A1A1C">
        <w:t xml:space="preserve">), the function </w:t>
      </w:r>
      <w:r w:rsidR="004C1D2F" w:rsidRPr="002A1A1C">
        <w:rPr>
          <w:i/>
        </w:rPr>
        <w:t>ctree</w:t>
      </w:r>
      <w:r w:rsidR="004C1D2F" w:rsidRPr="002A1A1C">
        <w:t xml:space="preserve"> </w:t>
      </w:r>
      <w:r w:rsidR="00AF3DFF">
        <w:t>(</w:t>
      </w:r>
      <w:r w:rsidR="00AF3DFF" w:rsidRPr="00D869CC">
        <w:t>Hothorn</w:t>
      </w:r>
      <w:r w:rsidR="00A71496" w:rsidRPr="00D869CC">
        <w:t>, Hornik, and Zeileis</w:t>
      </w:r>
      <w:r w:rsidR="00AF3DFF" w:rsidRPr="00D869CC">
        <w:t xml:space="preserve"> 2006</w:t>
      </w:r>
      <w:r w:rsidR="00AF3DFF">
        <w:t xml:space="preserve">) </w:t>
      </w:r>
      <w:r w:rsidR="004C1D2F" w:rsidRPr="002A1A1C">
        <w:t>implements an algorithm that builds classification trees using the conditional distribution of the response variables given the covariates, assuming that the observations are independent.</w:t>
      </w:r>
      <w:r w:rsidR="0078059D" w:rsidRPr="002A1A1C">
        <w:t xml:space="preserve"> </w:t>
      </w:r>
      <w:r w:rsidR="004C1D2F" w:rsidRPr="002A1A1C">
        <w:t>At each step, the method determines whether further partitioning is needed by testing the independence between</w:t>
      </w:r>
      <w:r w:rsidR="004C1D2F">
        <w:t xml:space="preserve"> the response variable and each covariate. If the null hypothesis is not rejected for each covariate, then it stops splitting. On the other hand, if the test is rejected for at least one covariate, it selects the covariate with the strongest association (i.e., the minimum </w:t>
      </w:r>
      <w:r w:rsidR="004C1D2F">
        <w:rPr>
          <w:i/>
        </w:rPr>
        <w:t>p</w:t>
      </w:r>
      <w:r w:rsidR="004C1D2F">
        <w:t xml:space="preserve">-value from the set of independence tests for all covariates) to be the basis of the split. The method then finds the split that results in the maximum difference </w:t>
      </w:r>
      <w:r w:rsidR="00445CAE">
        <w:t xml:space="preserve">of target </w:t>
      </w:r>
      <w:r w:rsidR="004C1D2F">
        <w:t>between two nodes.</w:t>
      </w:r>
    </w:p>
    <w:p w14:paraId="0D25BD4D" w14:textId="77777777" w:rsidR="00767E3F" w:rsidRDefault="00767E3F" w:rsidP="0078059D">
      <w:pPr>
        <w:pStyle w:val="L1-FlLSp12"/>
      </w:pPr>
    </w:p>
    <w:p w14:paraId="7BDBF774" w14:textId="2408A647" w:rsidR="00767E3F" w:rsidRDefault="00E45184" w:rsidP="0064367C">
      <w:pPr>
        <w:pStyle w:val="Heading4"/>
      </w:pPr>
      <w:r>
        <w:t>2</w:t>
      </w:r>
      <w:r w:rsidR="004C1D2F">
        <w:t>.</w:t>
      </w:r>
      <w:r w:rsidR="00260F52">
        <w:t>2</w:t>
      </w:r>
      <w:r w:rsidR="004C1D2F">
        <w:t xml:space="preserve"> </w:t>
      </w:r>
      <w:r w:rsidR="004C1D2F">
        <w:rPr>
          <w:i/>
        </w:rPr>
        <w:t>REEM</w:t>
      </w:r>
      <w:r w:rsidR="007F20D9">
        <w:rPr>
          <w:i/>
        </w:rPr>
        <w:t xml:space="preserve"> </w:t>
      </w:r>
      <w:r w:rsidR="0078059D">
        <w:t>A</w:t>
      </w:r>
      <w:r w:rsidR="004C1D2F">
        <w:t>lgorithm</w:t>
      </w:r>
    </w:p>
    <w:p w14:paraId="4EF991BF" w14:textId="019B53A0" w:rsidR="00767E3F" w:rsidRDefault="004C1D2F" w:rsidP="0078059D">
      <w:pPr>
        <w:pStyle w:val="L1-FlLSp12"/>
      </w:pPr>
      <w:r>
        <w:t xml:space="preserve">It is often the case that practitioners want to account for </w:t>
      </w:r>
      <w:r w:rsidR="001151FB">
        <w:t>cluster</w:t>
      </w:r>
      <w:r>
        <w:t>-to-</w:t>
      </w:r>
      <w:r w:rsidR="001151FB">
        <w:t xml:space="preserve">cluster </w:t>
      </w:r>
      <w:r>
        <w:t xml:space="preserve">variability in the models for nonresponse. One solution is to treat the </w:t>
      </w:r>
      <w:r w:rsidR="001151FB">
        <w:t xml:space="preserve">cluster </w:t>
      </w:r>
      <w:r>
        <w:t xml:space="preserve">as a fixed effect covariate. However, often there are a large number of </w:t>
      </w:r>
      <w:r w:rsidR="001151FB">
        <w:t xml:space="preserve">clusters (or </w:t>
      </w:r>
      <w:r w:rsidR="008C5EDB">
        <w:t>primary sampling units [PSUs]</w:t>
      </w:r>
      <w:r w:rsidR="001151FB">
        <w:t xml:space="preserve">) </w:t>
      </w:r>
      <w:r>
        <w:t xml:space="preserve">in a survey, </w:t>
      </w:r>
      <w:r w:rsidR="002D24F2">
        <w:t xml:space="preserve">and </w:t>
      </w:r>
      <w:r>
        <w:t xml:space="preserve">some tree methods have a selection bias toward variables with </w:t>
      </w:r>
      <w:r w:rsidR="008C5EDB">
        <w:t>many</w:t>
      </w:r>
      <w:r>
        <w:t xml:space="preserve"> categories such as the PSUs, as </w:t>
      </w:r>
      <w:r w:rsidRPr="002A1A1C">
        <w:t>Loh</w:t>
      </w:r>
      <w:r w:rsidR="002D24F2" w:rsidRPr="002A1A1C">
        <w:t>r</w:t>
      </w:r>
      <w:r w:rsidRPr="002A1A1C">
        <w:t xml:space="preserve"> (201</w:t>
      </w:r>
      <w:r w:rsidR="00BB46BC" w:rsidRPr="002A1A1C">
        <w:t>5</w:t>
      </w:r>
      <w:r w:rsidR="00C45E98">
        <w:t>)</w:t>
      </w:r>
      <w:r w:rsidRPr="002A1A1C">
        <w:t xml:space="preserve"> suggests. As an alternative for accounting for area effects, </w:t>
      </w:r>
      <w:r w:rsidRPr="00D869CC">
        <w:t>Sela and Simonoff (2012)</w:t>
      </w:r>
      <w:r w:rsidRPr="002A1A1C">
        <w:t xml:space="preserve"> outlined an approach that uses the</w:t>
      </w:r>
      <w:r w:rsidR="00445CAE" w:rsidRPr="002A1A1C">
        <w:t xml:space="preserve"> Expectation-Maximization</w:t>
      </w:r>
      <w:r w:rsidRPr="002A1A1C">
        <w:t xml:space="preserve"> </w:t>
      </w:r>
      <w:r w:rsidR="00445CAE" w:rsidRPr="002A1A1C">
        <w:t>(</w:t>
      </w:r>
      <w:r w:rsidRPr="002A1A1C">
        <w:t>EM</w:t>
      </w:r>
      <w:r w:rsidR="00445CAE" w:rsidRPr="002A1A1C">
        <w:t>)</w:t>
      </w:r>
      <w:r w:rsidRPr="002A1A1C">
        <w:t xml:space="preserve"> algorithm for clustered data. </w:t>
      </w:r>
      <w:r w:rsidR="0000779F">
        <w:t xml:space="preserve">The </w:t>
      </w:r>
      <w:r w:rsidRPr="002A1A1C">
        <w:t xml:space="preserve">REEMtree </w:t>
      </w:r>
      <w:r w:rsidR="0000779F">
        <w:t>package in R (</w:t>
      </w:r>
      <w:r w:rsidR="00340874" w:rsidRPr="00D869CC">
        <w:t>Sela,</w:t>
      </w:r>
      <w:r w:rsidR="00A71496" w:rsidRPr="00D869CC">
        <w:t xml:space="preserve"> Simonoff, and Jing</w:t>
      </w:r>
      <w:r w:rsidR="00340874" w:rsidRPr="00D869CC">
        <w:t xml:space="preserve"> 2021</w:t>
      </w:r>
      <w:r w:rsidR="00340874">
        <w:t xml:space="preserve">) </w:t>
      </w:r>
      <w:r w:rsidRPr="002A1A1C">
        <w:t>u</w:t>
      </w:r>
      <w:r w:rsidR="0000779F">
        <w:t>tilizes</w:t>
      </w:r>
      <w:r w:rsidRPr="002A1A1C">
        <w:t xml:space="preserve"> the package </w:t>
      </w:r>
      <w:r w:rsidR="006C01B6">
        <w:t>rpart</w:t>
      </w:r>
      <w:r>
        <w:t xml:space="preserve"> </w:t>
      </w:r>
      <w:r w:rsidR="0000779F">
        <w:t>(</w:t>
      </w:r>
      <w:r w:rsidR="00340874" w:rsidRPr="00D869CC">
        <w:t>Therneau</w:t>
      </w:r>
      <w:r w:rsidR="00A71496" w:rsidRPr="00D869CC">
        <w:t>, Atkinson, and Ripley</w:t>
      </w:r>
      <w:r w:rsidR="00340874" w:rsidRPr="00D869CC">
        <w:t xml:space="preserve"> </w:t>
      </w:r>
      <w:r w:rsidR="0000210D" w:rsidRPr="00D869CC">
        <w:t>2022</w:t>
      </w:r>
      <w:r w:rsidR="00340874" w:rsidRPr="00D869CC">
        <w:t>)</w:t>
      </w:r>
      <w:r w:rsidR="00340874">
        <w:t xml:space="preserve"> </w:t>
      </w:r>
      <w:r>
        <w:t xml:space="preserve">for tree building with the addition of a linear model for random effects. The algorithm in the </w:t>
      </w:r>
      <w:r w:rsidR="0000779F" w:rsidRPr="0000779F">
        <w:rPr>
          <w:i/>
        </w:rPr>
        <w:t>REEM</w:t>
      </w:r>
      <w:r w:rsidR="0000779F">
        <w:t xml:space="preserve"> </w:t>
      </w:r>
      <w:r>
        <w:t>function takes an iterative approach and alternates between fitting random effects through maximum likelihood estimation and fitting a tree after removing the random effects. The resulting response propensities are a combination of estimates from leaves and estimated random effects.</w:t>
      </w:r>
    </w:p>
    <w:p w14:paraId="57591A3C" w14:textId="77777777" w:rsidR="00767E3F" w:rsidRDefault="00767E3F" w:rsidP="0078059D">
      <w:pPr>
        <w:pStyle w:val="L1-FlLSp12"/>
      </w:pPr>
    </w:p>
    <w:p w14:paraId="10506570" w14:textId="7ADFC1AA" w:rsidR="00767E3F" w:rsidRDefault="00E45184" w:rsidP="0078059D">
      <w:pPr>
        <w:pStyle w:val="Heading4"/>
      </w:pPr>
      <w:r>
        <w:t>2</w:t>
      </w:r>
      <w:r w:rsidR="004C1D2F">
        <w:t>.</w:t>
      </w:r>
      <w:r w:rsidR="00260F52">
        <w:t>3</w:t>
      </w:r>
      <w:r w:rsidR="004C1D2F">
        <w:t xml:space="preserve"> </w:t>
      </w:r>
      <w:r w:rsidR="004C1D2F">
        <w:rPr>
          <w:i/>
        </w:rPr>
        <w:t>rpms</w:t>
      </w:r>
      <w:r w:rsidR="0078059D">
        <w:t xml:space="preserve"> A</w:t>
      </w:r>
      <w:r w:rsidR="004C1D2F">
        <w:t>lgorithm</w:t>
      </w:r>
    </w:p>
    <w:p w14:paraId="775033E7" w14:textId="2ADC08EB" w:rsidR="00767E3F" w:rsidRDefault="004C1D2F" w:rsidP="0078059D">
      <w:pPr>
        <w:pStyle w:val="L1-FlLSp12"/>
      </w:pPr>
      <w:r>
        <w:t>A relatively new classification algorithm revi</w:t>
      </w:r>
      <w:r w:rsidR="0000779F">
        <w:t>ewed</w:t>
      </w:r>
      <w:r>
        <w:t xml:space="preserve"> in this paper is the </w:t>
      </w:r>
      <w:r w:rsidR="00F87471">
        <w:t>r</w:t>
      </w:r>
      <w:r>
        <w:t xml:space="preserve">ecursive </w:t>
      </w:r>
      <w:r w:rsidR="00F87471">
        <w:t>p</w:t>
      </w:r>
      <w:r>
        <w:t xml:space="preserve">artitioning for </w:t>
      </w:r>
      <w:r w:rsidR="00F87471">
        <w:t>m</w:t>
      </w:r>
      <w:r>
        <w:t xml:space="preserve">odeling </w:t>
      </w:r>
      <w:r w:rsidR="00F87471">
        <w:t>s</w:t>
      </w:r>
      <w:r>
        <w:t xml:space="preserve">urvey </w:t>
      </w:r>
      <w:r w:rsidR="00F87471">
        <w:t>d</w:t>
      </w:r>
      <w:r>
        <w:t xml:space="preserve">ata algorithm implemented in the function </w:t>
      </w:r>
      <w:r>
        <w:rPr>
          <w:i/>
        </w:rPr>
        <w:t>rpms</w:t>
      </w:r>
      <w:r>
        <w:t xml:space="preserve"> of the R package of the same name (</w:t>
      </w:r>
      <w:r w:rsidRPr="00D869CC">
        <w:t xml:space="preserve">Toth </w:t>
      </w:r>
      <w:r w:rsidR="0000210D" w:rsidRPr="00D869CC">
        <w:t>2021</w:t>
      </w:r>
      <w:r>
        <w:t xml:space="preserve">). As implied by the name, the algorithm recursively classifies data using independent variables. This package is appropriate for survey data as it was developed explicitly to include parameters for sampling weights, clusters, and stratum definitions from complex survey designs into the trees. The </w:t>
      </w:r>
      <w:r>
        <w:rPr>
          <w:i/>
        </w:rPr>
        <w:t>r</w:t>
      </w:r>
      <w:r w:rsidR="002D24F2">
        <w:rPr>
          <w:i/>
        </w:rPr>
        <w:t>p</w:t>
      </w:r>
      <w:r>
        <w:rPr>
          <w:i/>
        </w:rPr>
        <w:t>ms</w:t>
      </w:r>
      <w:r>
        <w:t xml:space="preserve"> function fits a linear model to the data conditioning on the splits selected through a recursive partitioning algorithm. The models of the created classification trees are design</w:t>
      </w:r>
      <w:r w:rsidR="00C45E98">
        <w:t>-</w:t>
      </w:r>
      <w:r>
        <w:t>consistent and account for clustering, stratification, and unequal probabilities of selection at the first stage.</w:t>
      </w:r>
    </w:p>
    <w:p w14:paraId="5AE42A4A" w14:textId="0204573B" w:rsidR="00767E3F" w:rsidRDefault="00767E3F" w:rsidP="0078059D">
      <w:pPr>
        <w:pStyle w:val="L1-FlLSp12"/>
      </w:pPr>
    </w:p>
    <w:p w14:paraId="58B1BB57" w14:textId="7132A7BF" w:rsidR="00260F52" w:rsidRPr="002A1A1C" w:rsidRDefault="00260F52" w:rsidP="00260F52">
      <w:pPr>
        <w:pStyle w:val="Heading4"/>
      </w:pPr>
      <w:r w:rsidRPr="002A1A1C">
        <w:t>2.</w:t>
      </w:r>
      <w:r>
        <w:t>4</w:t>
      </w:r>
      <w:r w:rsidRPr="002A1A1C">
        <w:t xml:space="preserve"> SAS HPSPLIT Algorithms</w:t>
      </w:r>
    </w:p>
    <w:p w14:paraId="64F9F047" w14:textId="2CE113A1" w:rsidR="000966F3" w:rsidRDefault="00260F52" w:rsidP="00260F52">
      <w:pPr>
        <w:pStyle w:val="L1-FlLSp12"/>
        <w:rPr>
          <w:color w:val="000000"/>
        </w:rPr>
      </w:pPr>
      <w:r w:rsidRPr="002A1A1C">
        <w:rPr>
          <w:bCs/>
        </w:rPr>
        <w:t xml:space="preserve">The HPSPLIT procedure in </w:t>
      </w:r>
      <w:r w:rsidRPr="00D869CC">
        <w:rPr>
          <w:bCs/>
        </w:rPr>
        <w:t>SAS/STAT</w:t>
      </w:r>
      <w:r w:rsidRPr="00D869CC">
        <w:rPr>
          <w:bCs/>
          <w:vertAlign w:val="superscript"/>
        </w:rPr>
        <w:t>®</w:t>
      </w:r>
      <w:r w:rsidRPr="00D869CC">
        <w:rPr>
          <w:bCs/>
        </w:rPr>
        <w:t xml:space="preserve"> software (2015)</w:t>
      </w:r>
      <w:r w:rsidRPr="002A1A1C">
        <w:rPr>
          <w:bCs/>
        </w:rPr>
        <w:t xml:space="preserve"> builds </w:t>
      </w:r>
      <w:r w:rsidRPr="002A1A1C">
        <w:t>classification and regression trees. The procedure offers several options for partitioning criteria. T</w:t>
      </w:r>
      <w:r w:rsidR="00E175CF">
        <w:t>wo</w:t>
      </w:r>
      <w:r w:rsidRPr="002A1A1C">
        <w:t xml:space="preserve"> commonly used options are included in this research. </w:t>
      </w:r>
      <w:r>
        <w:t xml:space="preserve">The </w:t>
      </w:r>
      <w:r w:rsidR="00E175CF">
        <w:t>first criterion</w:t>
      </w:r>
      <w:r w:rsidR="00E175CF" w:rsidRPr="002A1A1C">
        <w:t xml:space="preserve"> </w:t>
      </w:r>
      <w:r w:rsidRPr="002A1A1C">
        <w:t xml:space="preserve">uses entropy information for classification. The </w:t>
      </w:r>
      <w:r w:rsidR="00E175CF">
        <w:t>second</w:t>
      </w:r>
      <w:r w:rsidRPr="002A1A1C">
        <w:t xml:space="preserve"> criterion </w:t>
      </w:r>
      <w:r>
        <w:t xml:space="preserve">used in our research </w:t>
      </w:r>
      <w:r w:rsidRPr="002A1A1C">
        <w:t>is based on a CHAID algorithm, which utilizes chi-square tests to partition the data</w:t>
      </w:r>
      <w:r>
        <w:t xml:space="preserve"> into trees. In CHAID, the natural logarithm of the </w:t>
      </w:r>
      <w:r>
        <w:rPr>
          <w:i/>
        </w:rPr>
        <w:t>p-</w:t>
      </w:r>
      <w:r>
        <w:t>value from the selected statistical test determines the best split</w:t>
      </w:r>
      <w:r>
        <w:rPr>
          <w:bCs/>
        </w:rPr>
        <w:t xml:space="preserve"> (</w:t>
      </w:r>
      <w:r w:rsidRPr="00D869CC">
        <w:rPr>
          <w:bCs/>
        </w:rPr>
        <w:t>Kass</w:t>
      </w:r>
      <w:r w:rsidR="001C35E1" w:rsidRPr="00D869CC">
        <w:rPr>
          <w:bCs/>
        </w:rPr>
        <w:t xml:space="preserve"> </w:t>
      </w:r>
      <w:r w:rsidRPr="00D869CC">
        <w:rPr>
          <w:bCs/>
        </w:rPr>
        <w:t>1980</w:t>
      </w:r>
      <w:r>
        <w:rPr>
          <w:bCs/>
        </w:rPr>
        <w:t xml:space="preserve">). </w:t>
      </w:r>
      <w:r>
        <w:rPr>
          <w:color w:val="000000"/>
        </w:rPr>
        <w:t xml:space="preserve">The splitting </w:t>
      </w:r>
      <w:r w:rsidR="000966F3">
        <w:rPr>
          <w:color w:val="000000"/>
        </w:rPr>
        <w:t>algorithms</w:t>
      </w:r>
      <w:r>
        <w:rPr>
          <w:color w:val="000000"/>
        </w:rPr>
        <w:t xml:space="preserve"> in the HPSPLIT procedure that we studied have the potential of overfitting the training data with </w:t>
      </w:r>
      <w:r w:rsidR="000966F3">
        <w:rPr>
          <w:color w:val="000000"/>
        </w:rPr>
        <w:t>a</w:t>
      </w:r>
      <w:r>
        <w:rPr>
          <w:color w:val="000000"/>
        </w:rPr>
        <w:t xml:space="preserve"> full tree, resulting in a model that does not adequately generalize to new data. To prevent overfitting, HPSPLIT implements the method</w:t>
      </w:r>
      <w:r w:rsidR="001C35E1">
        <w:rPr>
          <w:color w:val="000000"/>
        </w:rPr>
        <w:t xml:space="preserve"> of</w:t>
      </w:r>
      <w:r>
        <w:rPr>
          <w:color w:val="000000"/>
        </w:rPr>
        <w:t xml:space="preserve"> </w:t>
      </w:r>
      <w:r>
        <w:rPr>
          <w:i/>
          <w:color w:val="000000"/>
        </w:rPr>
        <w:t>pruning</w:t>
      </w:r>
      <w:r>
        <w:rPr>
          <w:color w:val="000000"/>
        </w:rPr>
        <w:t>: the full tree is trimmed to a smaller subtree that balances the goals of fitting training data and predicting new data.</w:t>
      </w:r>
    </w:p>
    <w:p w14:paraId="52323D46" w14:textId="77777777" w:rsidR="000966F3" w:rsidRDefault="000966F3" w:rsidP="00260F52">
      <w:pPr>
        <w:pStyle w:val="L1-FlLSp12"/>
        <w:rPr>
          <w:color w:val="000000"/>
        </w:rPr>
      </w:pPr>
    </w:p>
    <w:p w14:paraId="7E373F02" w14:textId="6927ADE6" w:rsidR="00767E3F" w:rsidRDefault="004C1D2F" w:rsidP="0078059D">
      <w:pPr>
        <w:pStyle w:val="L1-FlLSp12"/>
      </w:pPr>
      <w:r>
        <w:t xml:space="preserve">This paper compares the empirical bias and variance of the estimates computed using the listed methods of </w:t>
      </w:r>
      <w:r w:rsidR="00F23C09">
        <w:t>two</w:t>
      </w:r>
      <w:r>
        <w:t xml:space="preserve"> outcome variables</w:t>
      </w:r>
      <w:r w:rsidR="00833C98">
        <w:t xml:space="preserve"> for a low</w:t>
      </w:r>
      <w:r w:rsidR="00C47D09">
        <w:t>-</w:t>
      </w:r>
      <w:r w:rsidR="00833C98">
        <w:t>response and a high</w:t>
      </w:r>
      <w:r w:rsidR="00C47D09">
        <w:t>-</w:t>
      </w:r>
      <w:r w:rsidR="00833C98">
        <w:t>response scenario.</w:t>
      </w:r>
    </w:p>
    <w:p w14:paraId="28791FAC" w14:textId="77777777" w:rsidR="00767E3F" w:rsidRDefault="00767E3F" w:rsidP="0078059D">
      <w:pPr>
        <w:pStyle w:val="L1-FlLSp12"/>
      </w:pPr>
    </w:p>
    <w:p w14:paraId="0445E236" w14:textId="765A5C38" w:rsidR="00767E3F" w:rsidRPr="00600ACE" w:rsidRDefault="0078059D" w:rsidP="004578D9">
      <w:pPr>
        <w:pStyle w:val="C1-CtrBoldHd"/>
      </w:pPr>
      <w:r>
        <w:t>3. Simulation</w:t>
      </w:r>
    </w:p>
    <w:p w14:paraId="1A8F4357" w14:textId="46CFD911" w:rsidR="00767E3F" w:rsidRDefault="001C35E1" w:rsidP="0078059D">
      <w:pPr>
        <w:pStyle w:val="L1-FlLSp12"/>
      </w:pPr>
      <w:r>
        <w:t>We created t</w:t>
      </w:r>
      <w:r w:rsidR="004C1D2F">
        <w:t xml:space="preserve">he sampling frame for the simulation study using the household-level 2013-2017 ACS PUMS. The sampling frame served as the population for a simulation study mirroring a national survey of households. The frame consisted of a one-time simple random sample </w:t>
      </w:r>
      <w:r w:rsidR="00F87471">
        <w:t xml:space="preserve">(SRS) </w:t>
      </w:r>
      <w:r w:rsidR="004C1D2F">
        <w:t xml:space="preserve">of 200,000 households (excluding group homes) of the ACS PUMS dataset. A total of 5,000 repeated samples </w:t>
      </w:r>
      <w:r w:rsidR="00D84748">
        <w:t xml:space="preserve">were </w:t>
      </w:r>
      <w:r w:rsidR="00E35FB7">
        <w:t xml:space="preserve">selected using a </w:t>
      </w:r>
      <w:r w:rsidR="005F0052">
        <w:t>stratified</w:t>
      </w:r>
      <w:r w:rsidR="00E35FB7">
        <w:t xml:space="preserve"> </w:t>
      </w:r>
      <w:r w:rsidR="00E35FB7" w:rsidRPr="00D069D9">
        <w:t xml:space="preserve">design. </w:t>
      </w:r>
      <w:r w:rsidR="00D84748" w:rsidRPr="00D069D9">
        <w:t xml:space="preserve">The PSUs, or clusters, </w:t>
      </w:r>
      <w:r w:rsidR="00E35FB7" w:rsidRPr="00D069D9">
        <w:t xml:space="preserve">were defined by </w:t>
      </w:r>
      <w:r w:rsidR="00D10656">
        <w:t>p</w:t>
      </w:r>
      <w:r w:rsidR="00D84748" w:rsidRPr="00D069D9">
        <w:t xml:space="preserve">ublic </w:t>
      </w:r>
      <w:r w:rsidR="00D10656">
        <w:t>u</w:t>
      </w:r>
      <w:r w:rsidR="00D84748" w:rsidRPr="00D069D9">
        <w:t xml:space="preserve">se </w:t>
      </w:r>
      <w:r w:rsidR="00D10656">
        <w:t>m</w:t>
      </w:r>
      <w:r w:rsidR="00D84748" w:rsidRPr="00D069D9">
        <w:t xml:space="preserve">icrodata </w:t>
      </w:r>
      <w:r w:rsidR="00D10656">
        <w:t>a</w:t>
      </w:r>
      <w:r w:rsidR="00D84748" w:rsidRPr="00D069D9">
        <w:t>reas (PUMAs) or combined PUMAs containing at least 300 housing units</w:t>
      </w:r>
      <w:r w:rsidR="00D069D9">
        <w:t xml:space="preserve"> and stratified by region</w:t>
      </w:r>
      <w:r w:rsidR="00D84748" w:rsidRPr="00D069D9">
        <w:t xml:space="preserve">. Sampling began by selecting 25 PSUs from each of the four Census regions for a total of 100 PSUs. One hundred housing units were then randomly selected from each of the sampled PSUs. Each simulation run consisted </w:t>
      </w:r>
      <w:r w:rsidR="004C1D2F" w:rsidRPr="00D069D9">
        <w:t>of 10,000 hous</w:t>
      </w:r>
      <w:r w:rsidR="00D84748" w:rsidRPr="00D069D9">
        <w:t>ing units.</w:t>
      </w:r>
    </w:p>
    <w:p w14:paraId="05171463" w14:textId="77777777" w:rsidR="00767E3F" w:rsidRDefault="00767E3F" w:rsidP="0078059D">
      <w:pPr>
        <w:pStyle w:val="L1-FlLSp12"/>
      </w:pPr>
    </w:p>
    <w:p w14:paraId="2DABC338" w14:textId="2D805324" w:rsidR="00CB60AC" w:rsidRDefault="00F80C2B" w:rsidP="0078059D">
      <w:pPr>
        <w:pStyle w:val="L1-FlLSp12"/>
      </w:pPr>
      <w:r w:rsidRPr="002A2AD9">
        <w:t xml:space="preserve">Our simulation considers </w:t>
      </w:r>
      <w:r w:rsidR="00260F52" w:rsidRPr="002A2AD9">
        <w:t>nonresponse for the final sampling unit and not the PSU level.</w:t>
      </w:r>
      <w:r w:rsidR="002A2028" w:rsidRPr="002A2AD9">
        <w:t xml:space="preserve"> </w:t>
      </w:r>
      <w:r w:rsidR="00FB6843" w:rsidRPr="002A2AD9">
        <w:t>Details of the</w:t>
      </w:r>
      <w:r w:rsidR="002A2028" w:rsidRPr="002A2AD9">
        <w:t xml:space="preserve"> </w:t>
      </w:r>
      <w:r w:rsidR="00B56191" w:rsidRPr="002A2AD9">
        <w:t xml:space="preserve">simulation </w:t>
      </w:r>
      <w:r w:rsidR="002A2028" w:rsidRPr="002A2AD9">
        <w:t>design can be viewed in Table 2.</w:t>
      </w:r>
      <w:r w:rsidR="00260F52" w:rsidRPr="002A2AD9">
        <w:t xml:space="preserve"> We study </w:t>
      </w:r>
      <w:r w:rsidRPr="002A2AD9">
        <w:t>two response levels</w:t>
      </w:r>
      <w:r w:rsidR="00BE5593" w:rsidRPr="002A2AD9">
        <w:t xml:space="preserve">: </w:t>
      </w:r>
      <w:r w:rsidRPr="002A2AD9">
        <w:t xml:space="preserve">low </w:t>
      </w:r>
      <w:r w:rsidR="00B56191" w:rsidRPr="002A2AD9">
        <w:t xml:space="preserve">(30 percent) </w:t>
      </w:r>
      <w:r w:rsidRPr="002A2AD9">
        <w:t>and high</w:t>
      </w:r>
      <w:r w:rsidR="00B56191" w:rsidRPr="002A2AD9">
        <w:t xml:space="preserve"> (70 percent)</w:t>
      </w:r>
      <w:r w:rsidRPr="002A2AD9">
        <w:t xml:space="preserve">. </w:t>
      </w:r>
      <w:r w:rsidR="00211B0C" w:rsidRPr="002A2AD9">
        <w:t>P</w:t>
      </w:r>
      <w:r w:rsidR="0001379E" w:rsidRPr="002A2AD9">
        <w:t xml:space="preserve">revious year </w:t>
      </w:r>
      <w:r w:rsidR="00E165B2" w:rsidRPr="002A2AD9">
        <w:t>household</w:t>
      </w:r>
      <w:r w:rsidR="00E165B2">
        <w:t xml:space="preserve"> income </w:t>
      </w:r>
      <w:r w:rsidR="00211B0C">
        <w:t>was one of the</w:t>
      </w:r>
      <w:r w:rsidR="00E165B2">
        <w:t xml:space="preserve"> auxiliary predictor</w:t>
      </w:r>
      <w:r w:rsidR="00211B0C">
        <w:t>s</w:t>
      </w:r>
      <w:r w:rsidR="0001379E">
        <w:t xml:space="preserve"> </w:t>
      </w:r>
      <w:r w:rsidR="00211B0C">
        <w:t xml:space="preserve">used in the modeling of </w:t>
      </w:r>
      <w:r w:rsidR="0001379E">
        <w:t>response mechanism</w:t>
      </w:r>
      <w:r w:rsidR="00211B0C">
        <w:t>s</w:t>
      </w:r>
      <w:r w:rsidR="0001379E">
        <w:t xml:space="preserve">. In one scenario, </w:t>
      </w:r>
      <w:r w:rsidR="00327818">
        <w:t xml:space="preserve">the mechanism produced </w:t>
      </w:r>
      <w:r w:rsidR="0001379E">
        <w:t xml:space="preserve">response propensity </w:t>
      </w:r>
      <w:r w:rsidR="00327818">
        <w:t xml:space="preserve">that </w:t>
      </w:r>
      <w:r w:rsidR="0001379E">
        <w:t>was correlated with household income</w:t>
      </w:r>
      <w:r w:rsidR="001C35E1">
        <w:t>,</w:t>
      </w:r>
      <w:r w:rsidR="0001379E">
        <w:t xml:space="preserve"> and in the other</w:t>
      </w:r>
      <w:r w:rsidR="001C35E1">
        <w:t>,</w:t>
      </w:r>
      <w:r w:rsidR="0001379E">
        <w:t xml:space="preserve"> it was not</w:t>
      </w:r>
      <w:r w:rsidR="00FB6843">
        <w:t>.</w:t>
      </w:r>
      <w:r w:rsidR="00E165B2">
        <w:t xml:space="preserve"> </w:t>
      </w:r>
      <w:r w:rsidR="001C35E1">
        <w:t>We employed t</w:t>
      </w:r>
      <w:r w:rsidR="00E165B2">
        <w:t>wo types of sampling</w:t>
      </w:r>
      <w:r w:rsidR="00B57242">
        <w:t>;</w:t>
      </w:r>
      <w:r w:rsidR="00E165B2">
        <w:t xml:space="preserve"> a</w:t>
      </w:r>
      <w:r w:rsidR="00334A67">
        <w:t>n</w:t>
      </w:r>
      <w:r w:rsidR="00E165B2">
        <w:t xml:space="preserve"> SRS of housing units as a baseline sample</w:t>
      </w:r>
      <w:r w:rsidR="00334A67">
        <w:t>,</w:t>
      </w:r>
      <w:r w:rsidR="00E165B2">
        <w:t xml:space="preserve"> and </w:t>
      </w:r>
      <w:r w:rsidR="0001379E">
        <w:t xml:space="preserve">a </w:t>
      </w:r>
      <w:r w:rsidR="00DB556D">
        <w:t>probability-proportional-to-size (</w:t>
      </w:r>
      <w:r w:rsidR="00E165B2">
        <w:t>PPS</w:t>
      </w:r>
      <w:r w:rsidR="00DB556D">
        <w:t>)</w:t>
      </w:r>
      <w:r w:rsidR="00E165B2">
        <w:t xml:space="preserve"> sample</w:t>
      </w:r>
      <w:r w:rsidR="00181CAE">
        <w:t xml:space="preserve"> (i.e., informative sampling)</w:t>
      </w:r>
      <w:r w:rsidR="00E165B2">
        <w:t xml:space="preserve"> </w:t>
      </w:r>
      <w:r w:rsidR="00CF7D85">
        <w:t xml:space="preserve">where </w:t>
      </w:r>
      <w:r w:rsidR="00E165B2">
        <w:t>high</w:t>
      </w:r>
      <w:r w:rsidR="001C35E1">
        <w:t>-</w:t>
      </w:r>
      <w:r w:rsidR="00E165B2">
        <w:t>income households</w:t>
      </w:r>
      <w:r w:rsidR="00CF7D85">
        <w:t xml:space="preserve"> had a greater chance of selection</w:t>
      </w:r>
      <w:r w:rsidR="00E165B2">
        <w:t>.</w:t>
      </w:r>
      <w:r w:rsidR="00924C70">
        <w:t xml:space="preserve"> In this paper we use the terms PPS and informative sampling interchangeably.</w:t>
      </w:r>
      <w:r w:rsidR="002A2028">
        <w:t xml:space="preserve"> </w:t>
      </w:r>
      <w:r w:rsidR="00CF7D85">
        <w:t xml:space="preserve">The PPS sample offered a setting where our auxiliary variable, </w:t>
      </w:r>
      <w:r w:rsidR="0001379E">
        <w:t xml:space="preserve">previous year </w:t>
      </w:r>
      <w:r w:rsidR="00CF7D85">
        <w:t xml:space="preserve">household income, was correlated with our outcome variables. </w:t>
      </w:r>
      <w:r w:rsidR="001C35E1">
        <w:t xml:space="preserve">We ran each </w:t>
      </w:r>
      <w:r w:rsidR="002A2028">
        <w:t xml:space="preserve">setting with and without </w:t>
      </w:r>
      <w:r w:rsidR="00107B2D">
        <w:t xml:space="preserve">design </w:t>
      </w:r>
      <w:r w:rsidR="002A2028">
        <w:t xml:space="preserve">weights </w:t>
      </w:r>
      <w:r w:rsidR="00882DAD">
        <w:t>to assess the impact of using weights when creating</w:t>
      </w:r>
      <w:r w:rsidR="002A2028">
        <w:t xml:space="preserve"> nonresponse weighting cells.</w:t>
      </w:r>
    </w:p>
    <w:p w14:paraId="40F4FC32" w14:textId="77777777" w:rsidR="00CB60AC" w:rsidRDefault="00CB60AC" w:rsidP="0078059D">
      <w:pPr>
        <w:pStyle w:val="L1-FlLSp12"/>
      </w:pPr>
    </w:p>
    <w:p w14:paraId="7D4EFA24" w14:textId="2EC72942" w:rsidR="00767E3F" w:rsidRDefault="00CB60AC" w:rsidP="0078059D">
      <w:pPr>
        <w:pStyle w:val="L1-FlLSp12"/>
      </w:pPr>
      <w:r>
        <w:t>We anticipate</w:t>
      </w:r>
      <w:r w:rsidR="00FB6843">
        <w:t>d</w:t>
      </w:r>
      <w:r>
        <w:t xml:space="preserve"> that the nonresponse bias in the SRS sampling w</w:t>
      </w:r>
      <w:r w:rsidR="00FB6843">
        <w:t>ould</w:t>
      </w:r>
      <w:r>
        <w:t xml:space="preserve"> be the highest in the setting w</w:t>
      </w:r>
      <w:r w:rsidR="00181CAE">
        <w:t>here</w:t>
      </w:r>
      <w:r>
        <w:t xml:space="preserve"> </w:t>
      </w:r>
      <w:r w:rsidR="00181CAE">
        <w:t xml:space="preserve">correlation </w:t>
      </w:r>
      <w:r w:rsidR="00EA1138">
        <w:t>i</w:t>
      </w:r>
      <w:r w:rsidR="00181CAE">
        <w:t xml:space="preserve">s </w:t>
      </w:r>
      <w:r>
        <w:t xml:space="preserve">high </w:t>
      </w:r>
      <w:r w:rsidR="00181CAE">
        <w:t xml:space="preserve">between our auxiliary variable and both </w:t>
      </w:r>
      <w:r>
        <w:t xml:space="preserve">response </w:t>
      </w:r>
      <w:r w:rsidR="00181CAE">
        <w:t xml:space="preserve">propensity </w:t>
      </w:r>
      <w:r>
        <w:t xml:space="preserve">and </w:t>
      </w:r>
      <w:r w:rsidR="00181CAE">
        <w:t xml:space="preserve">the outcome variables, </w:t>
      </w:r>
      <w:r>
        <w:t xml:space="preserve">and the lowest when both </w:t>
      </w:r>
      <w:r w:rsidR="00181CAE">
        <w:t>correlations</w:t>
      </w:r>
      <w:r>
        <w:t xml:space="preserve"> are low.</w:t>
      </w:r>
      <w:r w:rsidR="00181CAE">
        <w:t xml:space="preserve"> </w:t>
      </w:r>
      <w:r w:rsidR="00181CAE" w:rsidRPr="00C925AF">
        <w:t>Literature on the effect of informative sampling is limited</w:t>
      </w:r>
      <w:r w:rsidR="001C35E1" w:rsidRPr="00C925AF">
        <w:t>;</w:t>
      </w:r>
      <w:r w:rsidR="00181CAE" w:rsidRPr="00C925AF">
        <w:t xml:space="preserve"> </w:t>
      </w:r>
      <w:r w:rsidR="00C925AF" w:rsidRPr="00DE2241">
        <w:t>however</w:t>
      </w:r>
      <w:r w:rsidR="001C35E1" w:rsidRPr="00DE2241">
        <w:t>,</w:t>
      </w:r>
      <w:r w:rsidR="00181CAE" w:rsidRPr="00DE2241">
        <w:t xml:space="preserve"> </w:t>
      </w:r>
      <w:r w:rsidR="00334A67">
        <w:t xml:space="preserve">results from </w:t>
      </w:r>
      <w:r w:rsidR="00C925AF" w:rsidRPr="00D869CC">
        <w:t>Lin et al. (2022)</w:t>
      </w:r>
      <w:r w:rsidR="00C925AF" w:rsidRPr="00DE2241">
        <w:t xml:space="preserve"> give us some expectation that </w:t>
      </w:r>
      <w:r w:rsidR="00C925AF" w:rsidRPr="00DE2241">
        <w:rPr>
          <w:rFonts w:cstheme="minorHAnsi"/>
        </w:rPr>
        <w:t>biasing the sample selection process will likely increase the nonresponse bias</w:t>
      </w:r>
      <w:r w:rsidR="00181CAE" w:rsidRPr="00DE2241">
        <w:t>.</w:t>
      </w:r>
    </w:p>
    <w:p w14:paraId="59DF2D51" w14:textId="1ACCD41B" w:rsidR="00767E3F" w:rsidRDefault="00767E3F" w:rsidP="0078059D">
      <w:pPr>
        <w:pStyle w:val="L1-FlLSp12"/>
      </w:pPr>
    </w:p>
    <w:p w14:paraId="5E9539E5" w14:textId="39321D87" w:rsidR="004F56AD" w:rsidRDefault="004F56AD" w:rsidP="0064367C">
      <w:pPr>
        <w:pStyle w:val="TT-TableTitle"/>
        <w:rPr>
          <w:i/>
        </w:rPr>
      </w:pPr>
      <w:r>
        <w:t>Table 2:</w:t>
      </w:r>
      <w:r w:rsidRPr="0064367C">
        <w:rPr>
          <w:b w:val="0"/>
        </w:rPr>
        <w:t xml:space="preserve"> </w:t>
      </w:r>
      <w:r w:rsidR="002A2028">
        <w:rPr>
          <w:b w:val="0"/>
        </w:rPr>
        <w:t>Simulation design</w:t>
      </w:r>
    </w:p>
    <w:tbl>
      <w:tblPr>
        <w:tblW w:w="5000" w:type="pct"/>
        <w:tblCellMar>
          <w:left w:w="115" w:type="dxa"/>
          <w:right w:w="115" w:type="dxa"/>
        </w:tblCellMar>
        <w:tblLook w:val="04A0" w:firstRow="1" w:lastRow="0" w:firstColumn="1" w:lastColumn="0" w:noHBand="0" w:noVBand="1"/>
      </w:tblPr>
      <w:tblGrid>
        <w:gridCol w:w="2474"/>
        <w:gridCol w:w="3016"/>
        <w:gridCol w:w="2430"/>
      </w:tblGrid>
      <w:tr w:rsidR="00DB55C9" w14:paraId="4EBC12BC" w14:textId="77777777" w:rsidTr="00B6098D">
        <w:trPr>
          <w:trHeight w:val="20"/>
        </w:trPr>
        <w:tc>
          <w:tcPr>
            <w:tcW w:w="1562" w:type="pct"/>
            <w:tcBorders>
              <w:top w:val="single" w:sz="4" w:space="0" w:color="auto"/>
              <w:bottom w:val="single" w:sz="4" w:space="0" w:color="auto"/>
            </w:tcBorders>
            <w:noWrap/>
            <w:vAlign w:val="center"/>
            <w:hideMark/>
          </w:tcPr>
          <w:p w14:paraId="0F37AF87" w14:textId="5929A853" w:rsidR="00DB55C9" w:rsidRPr="00A92353" w:rsidRDefault="00DB55C9" w:rsidP="001427BD">
            <w:pPr>
              <w:pStyle w:val="TH-TableHeading"/>
              <w:rPr>
                <w:sz w:val="20"/>
              </w:rPr>
            </w:pPr>
            <w:r w:rsidRPr="00A92353">
              <w:rPr>
                <w:sz w:val="20"/>
              </w:rPr>
              <w:t>Sampling</w:t>
            </w:r>
          </w:p>
        </w:tc>
        <w:tc>
          <w:tcPr>
            <w:tcW w:w="1904" w:type="pct"/>
            <w:tcBorders>
              <w:top w:val="single" w:sz="4" w:space="0" w:color="auto"/>
              <w:bottom w:val="single" w:sz="4" w:space="0" w:color="auto"/>
            </w:tcBorders>
            <w:vAlign w:val="center"/>
          </w:tcPr>
          <w:p w14:paraId="66557EF8" w14:textId="5C7D209B" w:rsidR="00DB55C9" w:rsidRPr="00A92353" w:rsidRDefault="00DB55C9" w:rsidP="001427BD">
            <w:pPr>
              <w:pStyle w:val="TH-TableHeading"/>
              <w:rPr>
                <w:sz w:val="20"/>
              </w:rPr>
            </w:pPr>
            <w:r w:rsidRPr="00A92353">
              <w:rPr>
                <w:sz w:val="20"/>
              </w:rPr>
              <w:t xml:space="preserve">Response </w:t>
            </w:r>
            <w:r w:rsidR="008A70AA" w:rsidRPr="00A92353">
              <w:rPr>
                <w:sz w:val="20"/>
              </w:rPr>
              <w:t>r</w:t>
            </w:r>
            <w:r w:rsidRPr="00A92353">
              <w:rPr>
                <w:sz w:val="20"/>
              </w:rPr>
              <w:t>ate</w:t>
            </w:r>
          </w:p>
        </w:tc>
        <w:tc>
          <w:tcPr>
            <w:tcW w:w="1534" w:type="pct"/>
            <w:tcBorders>
              <w:top w:val="single" w:sz="4" w:space="0" w:color="auto"/>
              <w:bottom w:val="single" w:sz="4" w:space="0" w:color="auto"/>
            </w:tcBorders>
            <w:noWrap/>
            <w:vAlign w:val="center"/>
            <w:hideMark/>
          </w:tcPr>
          <w:p w14:paraId="78F4ECE2" w14:textId="1D65F437" w:rsidR="00DB55C9" w:rsidRPr="00A92353" w:rsidRDefault="00DB55C9" w:rsidP="001427BD">
            <w:pPr>
              <w:pStyle w:val="TH-TableHeading"/>
              <w:rPr>
                <w:sz w:val="20"/>
              </w:rPr>
            </w:pPr>
            <w:r w:rsidRPr="00A92353">
              <w:rPr>
                <w:sz w:val="20"/>
              </w:rPr>
              <w:t>Auxiliary</w:t>
            </w:r>
            <w:r w:rsidR="002A280D" w:rsidRPr="00A92353">
              <w:rPr>
                <w:sz w:val="20"/>
              </w:rPr>
              <w:t xml:space="preserve"> c</w:t>
            </w:r>
            <w:r w:rsidRPr="00A92353">
              <w:rPr>
                <w:sz w:val="20"/>
              </w:rPr>
              <w:t>orrelation</w:t>
            </w:r>
          </w:p>
        </w:tc>
      </w:tr>
      <w:tr w:rsidR="00DB55C9" w14:paraId="38AB4EAE" w14:textId="77777777" w:rsidTr="00B6098D">
        <w:trPr>
          <w:trHeight w:val="20"/>
        </w:trPr>
        <w:tc>
          <w:tcPr>
            <w:tcW w:w="1562" w:type="pct"/>
            <w:tcBorders>
              <w:bottom w:val="single" w:sz="4" w:space="0" w:color="auto"/>
            </w:tcBorders>
            <w:noWrap/>
          </w:tcPr>
          <w:p w14:paraId="3F0C4E7E" w14:textId="77777777" w:rsidR="008A70AA" w:rsidRPr="00A92353" w:rsidRDefault="008A70AA" w:rsidP="00B57242">
            <w:pPr>
              <w:pStyle w:val="TX-TableText"/>
              <w:rPr>
                <w:sz w:val="20"/>
              </w:rPr>
            </w:pPr>
            <w:r w:rsidRPr="00A92353">
              <w:rPr>
                <w:sz w:val="20"/>
              </w:rPr>
              <w:t>PPS</w:t>
            </w:r>
          </w:p>
          <w:p w14:paraId="1F942676" w14:textId="3870268A" w:rsidR="005F0052" w:rsidRDefault="00371E3A" w:rsidP="00B57242">
            <w:pPr>
              <w:pStyle w:val="TX-TableText"/>
              <w:rPr>
                <w:sz w:val="20"/>
              </w:rPr>
            </w:pPr>
            <w:r w:rsidRPr="00A92353">
              <w:rPr>
                <w:sz w:val="20"/>
              </w:rPr>
              <w:t>PPS</w:t>
            </w:r>
          </w:p>
          <w:p w14:paraId="788E6DBB" w14:textId="1F6C7A14" w:rsidR="00DB55C9" w:rsidRPr="00A92353" w:rsidRDefault="00DB55C9" w:rsidP="00B57242">
            <w:pPr>
              <w:pStyle w:val="TX-TableText"/>
              <w:rPr>
                <w:sz w:val="20"/>
              </w:rPr>
            </w:pPr>
            <w:r w:rsidRPr="00A92353">
              <w:rPr>
                <w:sz w:val="20"/>
              </w:rPr>
              <w:t>PPS</w:t>
            </w:r>
          </w:p>
          <w:p w14:paraId="10E8F365" w14:textId="77777777" w:rsidR="00DB55C9" w:rsidRPr="00A92353" w:rsidRDefault="00DB55C9" w:rsidP="00B57242">
            <w:pPr>
              <w:pStyle w:val="TX-TableText"/>
              <w:rPr>
                <w:sz w:val="20"/>
              </w:rPr>
            </w:pPr>
            <w:r w:rsidRPr="00A92353">
              <w:rPr>
                <w:sz w:val="20"/>
              </w:rPr>
              <w:t>PPS</w:t>
            </w:r>
          </w:p>
          <w:p w14:paraId="0014AEDB" w14:textId="41834A49" w:rsidR="005F0052" w:rsidRDefault="00371E3A" w:rsidP="00B57242">
            <w:pPr>
              <w:pStyle w:val="TX-TableText"/>
              <w:rPr>
                <w:sz w:val="20"/>
              </w:rPr>
            </w:pPr>
            <w:r w:rsidRPr="00A92353">
              <w:rPr>
                <w:sz w:val="20"/>
              </w:rPr>
              <w:t>PPS</w:t>
            </w:r>
          </w:p>
          <w:p w14:paraId="6F5117C9" w14:textId="11944480" w:rsidR="00DB55C9" w:rsidRPr="00A92353" w:rsidRDefault="00DB55C9" w:rsidP="00B57242">
            <w:pPr>
              <w:pStyle w:val="TX-TableText"/>
              <w:rPr>
                <w:sz w:val="20"/>
              </w:rPr>
            </w:pPr>
            <w:r w:rsidRPr="00A92353">
              <w:rPr>
                <w:sz w:val="20"/>
              </w:rPr>
              <w:t>PPS</w:t>
            </w:r>
          </w:p>
          <w:p w14:paraId="46421AD1" w14:textId="611AD69E" w:rsidR="00DB55C9" w:rsidRDefault="00DB55C9" w:rsidP="00B57242">
            <w:pPr>
              <w:pStyle w:val="TX-TableText"/>
              <w:rPr>
                <w:sz w:val="20"/>
              </w:rPr>
            </w:pPr>
            <w:r w:rsidRPr="00A92353">
              <w:rPr>
                <w:sz w:val="20"/>
              </w:rPr>
              <w:t>SRS</w:t>
            </w:r>
          </w:p>
          <w:p w14:paraId="5DA85EC9" w14:textId="00AFC4CF" w:rsidR="00371E3A" w:rsidRPr="00A92353" w:rsidRDefault="00371E3A" w:rsidP="00B57242">
            <w:pPr>
              <w:pStyle w:val="TX-TableText"/>
              <w:rPr>
                <w:sz w:val="20"/>
              </w:rPr>
            </w:pPr>
            <w:r w:rsidRPr="00A92353">
              <w:rPr>
                <w:sz w:val="20"/>
              </w:rPr>
              <w:t>SRS</w:t>
            </w:r>
          </w:p>
          <w:p w14:paraId="4E6103D6" w14:textId="77777777" w:rsidR="00DB55C9" w:rsidRPr="00A92353" w:rsidRDefault="00DB55C9" w:rsidP="00B57242">
            <w:pPr>
              <w:pStyle w:val="TX-TableText"/>
              <w:rPr>
                <w:sz w:val="20"/>
              </w:rPr>
            </w:pPr>
            <w:r w:rsidRPr="00A92353">
              <w:rPr>
                <w:sz w:val="20"/>
              </w:rPr>
              <w:t>SRS</w:t>
            </w:r>
          </w:p>
          <w:p w14:paraId="6D14AEB5" w14:textId="1F493ABC" w:rsidR="00DB55C9" w:rsidRDefault="00DB55C9" w:rsidP="00B57242">
            <w:pPr>
              <w:pStyle w:val="TX-TableText"/>
              <w:rPr>
                <w:sz w:val="20"/>
              </w:rPr>
            </w:pPr>
            <w:r w:rsidRPr="00A92353">
              <w:rPr>
                <w:sz w:val="20"/>
              </w:rPr>
              <w:t>SRS</w:t>
            </w:r>
          </w:p>
          <w:p w14:paraId="575EFF7C" w14:textId="0102A320" w:rsidR="00371E3A" w:rsidRPr="00A92353" w:rsidRDefault="00371E3A" w:rsidP="00B57242">
            <w:pPr>
              <w:pStyle w:val="TX-TableText"/>
              <w:rPr>
                <w:sz w:val="20"/>
              </w:rPr>
            </w:pPr>
            <w:r w:rsidRPr="00A92353">
              <w:rPr>
                <w:sz w:val="20"/>
              </w:rPr>
              <w:t>SRS</w:t>
            </w:r>
          </w:p>
          <w:p w14:paraId="2563B637" w14:textId="1ACA5874" w:rsidR="00DB55C9" w:rsidRPr="00A92353" w:rsidRDefault="00DB55C9" w:rsidP="00B57242">
            <w:pPr>
              <w:pStyle w:val="TX-TableText"/>
              <w:rPr>
                <w:sz w:val="20"/>
              </w:rPr>
            </w:pPr>
            <w:r w:rsidRPr="00A92353">
              <w:rPr>
                <w:sz w:val="20"/>
              </w:rPr>
              <w:t>SRS</w:t>
            </w:r>
          </w:p>
        </w:tc>
        <w:tc>
          <w:tcPr>
            <w:tcW w:w="1904" w:type="pct"/>
            <w:tcBorders>
              <w:bottom w:val="single" w:sz="4" w:space="0" w:color="auto"/>
            </w:tcBorders>
          </w:tcPr>
          <w:p w14:paraId="2A37DC82" w14:textId="77777777" w:rsidR="008A70AA" w:rsidRPr="00A92353" w:rsidRDefault="008A70AA" w:rsidP="00B57242">
            <w:pPr>
              <w:pStyle w:val="TX-TableText"/>
              <w:rPr>
                <w:sz w:val="20"/>
              </w:rPr>
            </w:pPr>
            <w:r w:rsidRPr="00A92353">
              <w:rPr>
                <w:sz w:val="20"/>
              </w:rPr>
              <w:t>High – 70%</w:t>
            </w:r>
          </w:p>
          <w:p w14:paraId="638F33DD" w14:textId="1F1AD7E7" w:rsidR="005F0052" w:rsidRDefault="00371E3A" w:rsidP="00B57242">
            <w:pPr>
              <w:pStyle w:val="TX-TableText"/>
              <w:rPr>
                <w:sz w:val="20"/>
              </w:rPr>
            </w:pPr>
            <w:r w:rsidRPr="00A92353">
              <w:rPr>
                <w:sz w:val="20"/>
              </w:rPr>
              <w:t>High – 70%</w:t>
            </w:r>
          </w:p>
          <w:p w14:paraId="7FC7FAE9" w14:textId="3484BE8F" w:rsidR="00DB55C9" w:rsidRPr="00A92353" w:rsidRDefault="00DB55C9" w:rsidP="00B57242">
            <w:pPr>
              <w:pStyle w:val="TX-TableText"/>
              <w:rPr>
                <w:sz w:val="20"/>
              </w:rPr>
            </w:pPr>
            <w:r w:rsidRPr="00A92353">
              <w:rPr>
                <w:sz w:val="20"/>
              </w:rPr>
              <w:t>High – 70%</w:t>
            </w:r>
          </w:p>
          <w:p w14:paraId="79AE897A" w14:textId="70D9776D" w:rsidR="00DB55C9" w:rsidRPr="00A92353" w:rsidRDefault="00DB55C9" w:rsidP="00B57242">
            <w:pPr>
              <w:pStyle w:val="TX-TableText"/>
              <w:rPr>
                <w:sz w:val="20"/>
              </w:rPr>
            </w:pPr>
            <w:r w:rsidRPr="00A92353">
              <w:rPr>
                <w:sz w:val="20"/>
              </w:rPr>
              <w:t>Low – 30%</w:t>
            </w:r>
          </w:p>
          <w:p w14:paraId="405CCCC5" w14:textId="15B30741" w:rsidR="005F0052" w:rsidRDefault="00371E3A" w:rsidP="00A92353">
            <w:pPr>
              <w:pStyle w:val="TX-TableText"/>
              <w:rPr>
                <w:sz w:val="20"/>
              </w:rPr>
            </w:pPr>
            <w:r w:rsidRPr="00A92353">
              <w:rPr>
                <w:sz w:val="20"/>
              </w:rPr>
              <w:t>Low – 30%</w:t>
            </w:r>
          </w:p>
          <w:p w14:paraId="70905E34" w14:textId="07C58A71" w:rsidR="00DB55C9" w:rsidRPr="00A92353" w:rsidRDefault="00DB55C9" w:rsidP="00A92353">
            <w:pPr>
              <w:pStyle w:val="TX-TableText"/>
              <w:rPr>
                <w:sz w:val="20"/>
              </w:rPr>
            </w:pPr>
            <w:r w:rsidRPr="00A92353">
              <w:rPr>
                <w:sz w:val="20"/>
              </w:rPr>
              <w:t>Low – 30%</w:t>
            </w:r>
          </w:p>
          <w:p w14:paraId="2FD9586E" w14:textId="727C12EF" w:rsidR="00DB55C9" w:rsidRDefault="00DB55C9" w:rsidP="00B57242">
            <w:pPr>
              <w:pStyle w:val="TX-TableText"/>
              <w:rPr>
                <w:sz w:val="20"/>
              </w:rPr>
            </w:pPr>
            <w:r w:rsidRPr="00A92353">
              <w:rPr>
                <w:sz w:val="20"/>
              </w:rPr>
              <w:t>High – 70%</w:t>
            </w:r>
          </w:p>
          <w:p w14:paraId="1CEF4154" w14:textId="63D96E7D" w:rsidR="00371E3A" w:rsidRPr="00A92353" w:rsidRDefault="00371E3A" w:rsidP="00B57242">
            <w:pPr>
              <w:pStyle w:val="TX-TableText"/>
              <w:rPr>
                <w:sz w:val="20"/>
              </w:rPr>
            </w:pPr>
            <w:r w:rsidRPr="00A92353">
              <w:rPr>
                <w:sz w:val="20"/>
              </w:rPr>
              <w:t>High – 70%</w:t>
            </w:r>
          </w:p>
          <w:p w14:paraId="3E43D27C" w14:textId="25CC6EA2" w:rsidR="00DB55C9" w:rsidRPr="00A92353" w:rsidRDefault="00DB55C9" w:rsidP="00B57242">
            <w:pPr>
              <w:pStyle w:val="TX-TableText"/>
              <w:rPr>
                <w:sz w:val="20"/>
              </w:rPr>
            </w:pPr>
            <w:r w:rsidRPr="00A92353">
              <w:rPr>
                <w:sz w:val="20"/>
              </w:rPr>
              <w:t>High – 70%</w:t>
            </w:r>
          </w:p>
          <w:p w14:paraId="56D0D5D5" w14:textId="21A9F993" w:rsidR="00DB55C9" w:rsidRDefault="00DB55C9" w:rsidP="00B57242">
            <w:pPr>
              <w:pStyle w:val="TX-TableText"/>
              <w:rPr>
                <w:sz w:val="20"/>
              </w:rPr>
            </w:pPr>
            <w:r w:rsidRPr="00A92353">
              <w:rPr>
                <w:sz w:val="20"/>
              </w:rPr>
              <w:t>Low – 30%</w:t>
            </w:r>
          </w:p>
          <w:p w14:paraId="10D84FE0" w14:textId="1029FE7D" w:rsidR="00371E3A" w:rsidRPr="00A92353" w:rsidRDefault="00371E3A" w:rsidP="00B57242">
            <w:pPr>
              <w:pStyle w:val="TX-TableText"/>
              <w:rPr>
                <w:sz w:val="20"/>
              </w:rPr>
            </w:pPr>
            <w:r w:rsidRPr="00A92353">
              <w:rPr>
                <w:sz w:val="20"/>
              </w:rPr>
              <w:t>Low – 30%</w:t>
            </w:r>
          </w:p>
          <w:p w14:paraId="7D5222DC" w14:textId="1F971CA4" w:rsidR="00DB55C9" w:rsidRPr="00A92353" w:rsidRDefault="00DB55C9" w:rsidP="00B57242">
            <w:pPr>
              <w:pStyle w:val="TX-TableText"/>
              <w:rPr>
                <w:sz w:val="20"/>
              </w:rPr>
            </w:pPr>
            <w:r w:rsidRPr="00A92353">
              <w:rPr>
                <w:sz w:val="20"/>
              </w:rPr>
              <w:t>Low – 30%</w:t>
            </w:r>
          </w:p>
        </w:tc>
        <w:tc>
          <w:tcPr>
            <w:tcW w:w="1534" w:type="pct"/>
            <w:tcBorders>
              <w:bottom w:val="single" w:sz="4" w:space="0" w:color="auto"/>
            </w:tcBorders>
            <w:noWrap/>
          </w:tcPr>
          <w:p w14:paraId="01BD05D9" w14:textId="5425B054" w:rsidR="005F0052" w:rsidRDefault="005F0052" w:rsidP="00B57242">
            <w:pPr>
              <w:pStyle w:val="TX-TableText"/>
              <w:rPr>
                <w:color w:val="000000" w:themeColor="text1"/>
                <w:sz w:val="20"/>
              </w:rPr>
            </w:pPr>
            <w:r>
              <w:rPr>
                <w:color w:val="000000" w:themeColor="text1"/>
                <w:sz w:val="20"/>
              </w:rPr>
              <w:t>High</w:t>
            </w:r>
          </w:p>
          <w:p w14:paraId="44EA73C3" w14:textId="4F3E59E5" w:rsidR="005F0052" w:rsidRDefault="005F0052" w:rsidP="00B57242">
            <w:pPr>
              <w:pStyle w:val="TX-TableText"/>
              <w:rPr>
                <w:color w:val="000000" w:themeColor="text1"/>
                <w:sz w:val="20"/>
              </w:rPr>
            </w:pPr>
            <w:r>
              <w:rPr>
                <w:color w:val="000000" w:themeColor="text1"/>
                <w:sz w:val="20"/>
              </w:rPr>
              <w:t>Med</w:t>
            </w:r>
          </w:p>
          <w:p w14:paraId="60D0DACB" w14:textId="4328727D" w:rsidR="00DB55C9" w:rsidRPr="00A92353" w:rsidRDefault="00DB55C9" w:rsidP="00B57242">
            <w:pPr>
              <w:pStyle w:val="TX-TableText"/>
              <w:rPr>
                <w:color w:val="000000" w:themeColor="text1"/>
                <w:sz w:val="20"/>
              </w:rPr>
            </w:pPr>
            <w:r w:rsidRPr="00A92353">
              <w:rPr>
                <w:color w:val="000000" w:themeColor="text1"/>
                <w:sz w:val="20"/>
              </w:rPr>
              <w:t>Low</w:t>
            </w:r>
          </w:p>
          <w:p w14:paraId="4A804C98" w14:textId="260B7A90" w:rsidR="00DB55C9" w:rsidRDefault="00DB55C9" w:rsidP="00B57242">
            <w:pPr>
              <w:pStyle w:val="TX-TableText"/>
              <w:rPr>
                <w:color w:val="000000" w:themeColor="text1"/>
                <w:sz w:val="20"/>
              </w:rPr>
            </w:pPr>
            <w:r w:rsidRPr="00A92353">
              <w:rPr>
                <w:color w:val="000000" w:themeColor="text1"/>
                <w:sz w:val="20"/>
              </w:rPr>
              <w:t>High</w:t>
            </w:r>
          </w:p>
          <w:p w14:paraId="2169AE05" w14:textId="315DA35E" w:rsidR="005F0052" w:rsidRPr="00A92353" w:rsidRDefault="005F0052" w:rsidP="00B57242">
            <w:pPr>
              <w:pStyle w:val="TX-TableText"/>
              <w:rPr>
                <w:color w:val="000000" w:themeColor="text1"/>
                <w:sz w:val="20"/>
              </w:rPr>
            </w:pPr>
            <w:r>
              <w:rPr>
                <w:color w:val="000000" w:themeColor="text1"/>
                <w:sz w:val="20"/>
              </w:rPr>
              <w:t>Med</w:t>
            </w:r>
          </w:p>
          <w:p w14:paraId="7E720835" w14:textId="77777777" w:rsidR="00DB55C9" w:rsidRPr="00A92353" w:rsidRDefault="00DB55C9" w:rsidP="00B57242">
            <w:pPr>
              <w:pStyle w:val="TX-TableText"/>
              <w:rPr>
                <w:color w:val="000000" w:themeColor="text1"/>
                <w:sz w:val="20"/>
              </w:rPr>
            </w:pPr>
            <w:r w:rsidRPr="00A92353">
              <w:rPr>
                <w:color w:val="000000" w:themeColor="text1"/>
                <w:sz w:val="20"/>
              </w:rPr>
              <w:t>Low</w:t>
            </w:r>
          </w:p>
          <w:p w14:paraId="6D06E782" w14:textId="557D0530" w:rsidR="00DB55C9" w:rsidRDefault="00DB55C9" w:rsidP="00B57242">
            <w:pPr>
              <w:pStyle w:val="TX-TableText"/>
              <w:rPr>
                <w:color w:val="000000" w:themeColor="text1"/>
                <w:sz w:val="20"/>
              </w:rPr>
            </w:pPr>
            <w:r w:rsidRPr="00A92353">
              <w:rPr>
                <w:color w:val="000000" w:themeColor="text1"/>
                <w:sz w:val="20"/>
              </w:rPr>
              <w:t>High</w:t>
            </w:r>
          </w:p>
          <w:p w14:paraId="383CE0D9" w14:textId="0301A406" w:rsidR="00371E3A" w:rsidRPr="00A92353" w:rsidRDefault="00371E3A" w:rsidP="00B57242">
            <w:pPr>
              <w:pStyle w:val="TX-TableText"/>
              <w:rPr>
                <w:color w:val="000000" w:themeColor="text1"/>
                <w:sz w:val="20"/>
              </w:rPr>
            </w:pPr>
            <w:r>
              <w:rPr>
                <w:color w:val="000000" w:themeColor="text1"/>
                <w:sz w:val="20"/>
              </w:rPr>
              <w:t>Med</w:t>
            </w:r>
          </w:p>
          <w:p w14:paraId="1DEA7B2A" w14:textId="77777777" w:rsidR="00DB55C9" w:rsidRPr="00A92353" w:rsidRDefault="00DB55C9" w:rsidP="00B57242">
            <w:pPr>
              <w:pStyle w:val="TX-TableText"/>
              <w:rPr>
                <w:color w:val="000000" w:themeColor="text1"/>
                <w:sz w:val="20"/>
              </w:rPr>
            </w:pPr>
            <w:r w:rsidRPr="00A92353">
              <w:rPr>
                <w:color w:val="000000" w:themeColor="text1"/>
                <w:sz w:val="20"/>
              </w:rPr>
              <w:t>Low</w:t>
            </w:r>
          </w:p>
          <w:p w14:paraId="65CBCF42" w14:textId="128AB994" w:rsidR="00DB55C9" w:rsidRDefault="00DB55C9" w:rsidP="00B57242">
            <w:pPr>
              <w:pStyle w:val="TX-TableText"/>
              <w:rPr>
                <w:color w:val="000000" w:themeColor="text1"/>
                <w:sz w:val="20"/>
              </w:rPr>
            </w:pPr>
            <w:r w:rsidRPr="00A92353">
              <w:rPr>
                <w:color w:val="000000" w:themeColor="text1"/>
                <w:sz w:val="20"/>
              </w:rPr>
              <w:t>High</w:t>
            </w:r>
          </w:p>
          <w:p w14:paraId="6EFE26F3" w14:textId="70FE1E38" w:rsidR="00371E3A" w:rsidRPr="00A92353" w:rsidRDefault="00371E3A" w:rsidP="00B57242">
            <w:pPr>
              <w:pStyle w:val="TX-TableText"/>
              <w:rPr>
                <w:color w:val="000000" w:themeColor="text1"/>
                <w:sz w:val="20"/>
              </w:rPr>
            </w:pPr>
            <w:r>
              <w:rPr>
                <w:color w:val="000000" w:themeColor="text1"/>
                <w:sz w:val="20"/>
              </w:rPr>
              <w:t>Med</w:t>
            </w:r>
          </w:p>
          <w:p w14:paraId="53104BAE" w14:textId="0791DB4C" w:rsidR="00DB55C9" w:rsidRPr="00A92353" w:rsidRDefault="00DB55C9" w:rsidP="00B57242">
            <w:pPr>
              <w:pStyle w:val="TX-TableText"/>
              <w:rPr>
                <w:color w:val="000000" w:themeColor="text1"/>
                <w:sz w:val="20"/>
              </w:rPr>
            </w:pPr>
            <w:r w:rsidRPr="00A92353">
              <w:rPr>
                <w:color w:val="000000" w:themeColor="text1"/>
                <w:sz w:val="20"/>
              </w:rPr>
              <w:t>Low</w:t>
            </w:r>
          </w:p>
        </w:tc>
      </w:tr>
    </w:tbl>
    <w:p w14:paraId="3FBE08E4" w14:textId="77777777" w:rsidR="004F56AD" w:rsidRDefault="004F56AD" w:rsidP="004F56AD">
      <w:pPr>
        <w:pStyle w:val="L1-FlLSp12"/>
      </w:pPr>
    </w:p>
    <w:p w14:paraId="20B2113E" w14:textId="69734918" w:rsidR="002A2028" w:rsidRDefault="002A2028" w:rsidP="0078059D">
      <w:pPr>
        <w:pStyle w:val="L1-FlLSp12"/>
      </w:pPr>
      <w:r>
        <w:t>The response mechanism</w:t>
      </w:r>
      <w:r w:rsidR="00211B0C">
        <w:t>s were</w:t>
      </w:r>
      <w:r>
        <w:t xml:space="preserve"> generated using </w:t>
      </w:r>
      <w:r w:rsidR="00C42407">
        <w:t xml:space="preserve">the </w:t>
      </w:r>
      <w:r w:rsidR="00211B0C">
        <w:t xml:space="preserve">basic </w:t>
      </w:r>
      <w:r w:rsidR="00C42407">
        <w:t>model</w:t>
      </w:r>
    </w:p>
    <w:p w14:paraId="5942966C" w14:textId="77777777" w:rsidR="00DB55C9" w:rsidRDefault="00DB55C9" w:rsidP="0078059D">
      <w:pPr>
        <w:pStyle w:val="L1-FlLSp12"/>
      </w:pPr>
    </w:p>
    <w:p w14:paraId="0A702A44" w14:textId="35ED5498" w:rsidR="002A2028" w:rsidRDefault="002A2028" w:rsidP="0078059D">
      <w:pPr>
        <w:pStyle w:val="L1-FlLSp12"/>
      </w:pPr>
      <m:oMathPara>
        <m:oMath>
          <m:r>
            <m:rPr>
              <m:sty m:val="bi"/>
            </m:rPr>
            <w:rPr>
              <w:rFonts w:ascii="Cambria Math" w:hAnsi="Cambria Math"/>
            </w:rPr>
            <m:t>r=</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1</m:t>
                      </m:r>
                    </m:sub>
                  </m:sSub>
                  <m:r>
                    <m:rPr>
                      <m:sty m:val="bi"/>
                    </m:rPr>
                    <w:rPr>
                      <w:rFonts w:ascii="Cambria Math" w:hAnsi="Cambria Math"/>
                    </w:rPr>
                    <m:t>x+</m:t>
                  </m:r>
                  <m:nary>
                    <m:naryPr>
                      <m:chr m:val="∑"/>
                      <m:subHide m:val="1"/>
                      <m:supHide m:val="1"/>
                      <m:ctrlPr>
                        <w:rPr>
                          <w:rFonts w:ascii="Cambria Math" w:hAnsi="Cambria Math"/>
                          <w:b/>
                          <w:bCs/>
                          <w:i/>
                          <w:iCs/>
                        </w:rPr>
                      </m:ctrlPr>
                    </m:naryPr>
                    <m:sub/>
                    <m:sup/>
                    <m:e>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i</m:t>
                          </m:r>
                        </m:sub>
                      </m:sSub>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i</m:t>
                          </m:r>
                        </m:sub>
                      </m:sSub>
                    </m:e>
                  </m:nary>
                </m:sup>
              </m:sSup>
              <m:r>
                <m:rPr>
                  <m:sty m:val="bi"/>
                </m:rPr>
                <w:rPr>
                  <w:rFonts w:ascii="Cambria Math" w:hAnsi="Cambria Math"/>
                </w:rPr>
                <m:t>)</m:t>
              </m:r>
            </m:num>
            <m:den>
              <m:r>
                <m:rPr>
                  <m:sty m:val="bi"/>
                </m:rPr>
                <w:rPr>
                  <w:rFonts w:ascii="Cambria Math" w:hAnsi="Cambria Math"/>
                </w:rPr>
                <m:t>1+</m:t>
              </m:r>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1</m:t>
                      </m:r>
                    </m:sub>
                  </m:sSub>
                  <m:r>
                    <m:rPr>
                      <m:sty m:val="bi"/>
                    </m:rPr>
                    <w:rPr>
                      <w:rFonts w:ascii="Cambria Math" w:hAnsi="Cambria Math"/>
                    </w:rPr>
                    <m:t>x+</m:t>
                  </m:r>
                  <m:nary>
                    <m:naryPr>
                      <m:chr m:val="∑"/>
                      <m:subHide m:val="1"/>
                      <m:supHide m:val="1"/>
                      <m:ctrlPr>
                        <w:rPr>
                          <w:rFonts w:ascii="Cambria Math" w:hAnsi="Cambria Math"/>
                          <w:b/>
                          <w:bCs/>
                          <w:i/>
                          <w:iCs/>
                        </w:rPr>
                      </m:ctrlPr>
                    </m:naryPr>
                    <m:sub/>
                    <m:sup/>
                    <m:e>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i</m:t>
                          </m:r>
                        </m:sub>
                      </m:sSub>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i</m:t>
                          </m:r>
                        </m:sub>
                      </m:sSub>
                    </m:e>
                  </m:nary>
                </m:sup>
              </m:sSup>
              <m:r>
                <m:rPr>
                  <m:sty m:val="bi"/>
                </m:rPr>
                <w:rPr>
                  <w:rFonts w:ascii="Cambria Math" w:hAnsi="Cambria Math"/>
                </w:rPr>
                <m:t>)</m:t>
              </m:r>
            </m:den>
          </m:f>
        </m:oMath>
      </m:oMathPara>
    </w:p>
    <w:p w14:paraId="1E104CD4" w14:textId="0B04F4E4" w:rsidR="00767E3F" w:rsidRDefault="00767E3F" w:rsidP="0078059D">
      <w:pPr>
        <w:pStyle w:val="L1-FlLSp12"/>
      </w:pPr>
    </w:p>
    <w:p w14:paraId="5833841A" w14:textId="36259144" w:rsidR="002A2028" w:rsidRPr="00A8127D" w:rsidRDefault="002A2028" w:rsidP="0078059D">
      <w:pPr>
        <w:pStyle w:val="L1-FlLSp12"/>
      </w:pPr>
      <w:r>
        <w:t xml:space="preserve">Where </w:t>
      </w:r>
      <m:oMath>
        <m:r>
          <m:rPr>
            <m:sty m:val="bi"/>
          </m:rPr>
          <w:rPr>
            <w:rFonts w:ascii="Cambria Math" w:hAnsi="Cambria Math"/>
          </w:rPr>
          <m:t>r</m:t>
        </m:r>
      </m:oMath>
      <w:r>
        <w:t xml:space="preserve"> is the response mechanism, </w:t>
      </w:r>
      <m:oMath>
        <m:r>
          <m:rPr>
            <m:sty m:val="bi"/>
          </m:rPr>
          <w:rPr>
            <w:rFonts w:ascii="Cambria Math" w:hAnsi="Cambria Math"/>
          </w:rPr>
          <m:t>x</m:t>
        </m:r>
      </m:oMath>
      <w:r w:rsidR="00EA1138" w:rsidRPr="00EA1138">
        <w:rPr>
          <w:iCs/>
        </w:rPr>
        <w:t xml:space="preserve"> is the </w:t>
      </w:r>
      <w:r w:rsidR="002E596B">
        <w:rPr>
          <w:iCs/>
        </w:rPr>
        <w:t>household income from the previous year</w:t>
      </w:r>
      <w:r w:rsidR="00EA1138">
        <w:rPr>
          <w:iCs/>
        </w:rPr>
        <w:t xml:space="preserve">, </w:t>
      </w:r>
      <m:oMath>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1</m:t>
            </m:r>
          </m:sub>
        </m:sSub>
      </m:oMath>
      <w:r w:rsidR="002E596B">
        <w:t xml:space="preserve"> are </w:t>
      </w:r>
      <w:r w:rsidR="002E596B" w:rsidRPr="002E596B">
        <w:t xml:space="preserve">different values to control for level of correlation with </w:t>
      </w:r>
      <m:oMath>
        <m:r>
          <m:rPr>
            <m:sty m:val="bi"/>
          </m:rPr>
          <w:rPr>
            <w:rFonts w:ascii="Cambria Math" w:hAnsi="Cambria Math"/>
          </w:rPr>
          <m:t>x</m:t>
        </m:r>
      </m:oMath>
      <w:r w:rsidR="002E596B">
        <w:t xml:space="preserve">, </w:t>
      </w:r>
      <w:r>
        <w:t xml:space="preserve">and </w:t>
      </w:r>
      <m:oMath>
        <m:nary>
          <m:naryPr>
            <m:chr m:val="∑"/>
            <m:subHide m:val="1"/>
            <m:supHide m:val="1"/>
            <m:ctrlPr>
              <w:rPr>
                <w:rFonts w:ascii="Cambria Math" w:hAnsi="Cambria Math"/>
                <w:b/>
                <w:bCs/>
                <w:i/>
                <w:iCs/>
              </w:rPr>
            </m:ctrlPr>
          </m:naryPr>
          <m:sub/>
          <m:sup/>
          <m:e>
            <m:sSub>
              <m:sSubPr>
                <m:ctrlPr>
                  <w:rPr>
                    <w:rFonts w:ascii="Cambria Math" w:hAnsi="Cambria Math"/>
                    <w:b/>
                    <w:bCs/>
                    <w:i/>
                    <w:iCs/>
                  </w:rPr>
                </m:ctrlPr>
              </m:sSubPr>
              <m:e>
                <m:r>
                  <m:rPr>
                    <m:sty m:val="bi"/>
                  </m:rPr>
                  <w:rPr>
                    <w:rFonts w:ascii="Cambria Math" w:hAnsi="Cambria Math"/>
                  </w:rPr>
                  <m:t>β</m:t>
                </m:r>
              </m:e>
              <m:sub>
                <m:r>
                  <m:rPr>
                    <m:sty m:val="bi"/>
                  </m:rPr>
                  <w:rPr>
                    <w:rFonts w:ascii="Cambria Math" w:hAnsi="Cambria Math"/>
                  </w:rPr>
                  <m:t>i</m:t>
                </m:r>
              </m:sub>
            </m:sSub>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i</m:t>
                </m:r>
              </m:sub>
            </m:sSub>
          </m:e>
        </m:nary>
        <m:r>
          <m:rPr>
            <m:sty m:val="bi"/>
          </m:rPr>
          <w:rPr>
            <w:rFonts w:ascii="Cambria Math" w:hAnsi="Cambria Math"/>
          </w:rPr>
          <m:t>,</m:t>
        </m:r>
      </m:oMath>
      <w:r w:rsidR="00C42407" w:rsidRPr="00C42407">
        <w:rPr>
          <w:bCs/>
          <w:iCs/>
        </w:rPr>
        <w:t xml:space="preserve"> </w:t>
      </w:r>
      <w:r w:rsidR="002E596B">
        <w:rPr>
          <w:bCs/>
          <w:iCs/>
        </w:rPr>
        <w:t>are modeled from frame data</w:t>
      </w:r>
      <w:r w:rsidR="00A8127D">
        <w:rPr>
          <w:bCs/>
          <w:iCs/>
        </w:rPr>
        <w:t>.</w:t>
      </w:r>
      <w:r w:rsidR="00AA4B23">
        <w:rPr>
          <w:bCs/>
          <w:iCs/>
        </w:rPr>
        <w:t xml:space="preserve"> </w:t>
      </w:r>
    </w:p>
    <w:p w14:paraId="46216AA4" w14:textId="77777777" w:rsidR="002A2028" w:rsidRDefault="002A2028" w:rsidP="0078059D">
      <w:pPr>
        <w:pStyle w:val="L1-FlLSp12"/>
      </w:pPr>
    </w:p>
    <w:p w14:paraId="72601576" w14:textId="2A795CD2" w:rsidR="00767E3F" w:rsidRDefault="00B049BC" w:rsidP="0078059D">
      <w:pPr>
        <w:pStyle w:val="L1-FlLSp12"/>
      </w:pPr>
      <w:r>
        <w:t xml:space="preserve">We </w:t>
      </w:r>
      <w:r w:rsidR="004C1D2F">
        <w:t xml:space="preserve">selected </w:t>
      </w:r>
      <w:r w:rsidR="00371E3A">
        <w:t>three</w:t>
      </w:r>
      <w:r>
        <w:t xml:space="preserve"> </w:t>
      </w:r>
      <w:r w:rsidR="004C1D2F">
        <w:t xml:space="preserve">outcome variables </w:t>
      </w:r>
      <w:r>
        <w:t xml:space="preserve">for </w:t>
      </w:r>
      <w:r w:rsidR="004C1D2F">
        <w:t>the simulation study</w:t>
      </w:r>
      <w:r w:rsidR="005248C5">
        <w:t>,</w:t>
      </w:r>
      <w:r w:rsidR="004C1D2F">
        <w:t xml:space="preserve"> listed in Table 3. The empirical study compared estimates of means </w:t>
      </w:r>
      <w:r>
        <w:t>for the continuous variable (</w:t>
      </w:r>
      <w:r w:rsidR="00C42407">
        <w:t xml:space="preserve">percentage of households where all residents have </w:t>
      </w:r>
      <w:r w:rsidR="00E165B2">
        <w:t>health insurance</w:t>
      </w:r>
      <w:r w:rsidR="00371E3A">
        <w:t xml:space="preserve">, </w:t>
      </w:r>
      <w:r w:rsidR="004C1D2F">
        <w:t xml:space="preserve">proportions </w:t>
      </w:r>
      <w:r>
        <w:t>for the binary variable (</w:t>
      </w:r>
      <w:r w:rsidR="00C42407">
        <w:t xml:space="preserve">at least one member of the household has a </w:t>
      </w:r>
      <w:r w:rsidR="00E165B2">
        <w:t>bachelor</w:t>
      </w:r>
      <w:r w:rsidR="00600ACE">
        <w:t>’</w:t>
      </w:r>
      <w:r w:rsidR="00E165B2">
        <w:t>s degree</w:t>
      </w:r>
      <w:r>
        <w:t>)</w:t>
      </w:r>
      <w:r w:rsidR="00C25609">
        <w:t>,</w:t>
      </w:r>
      <w:r w:rsidR="00371E3A">
        <w:t xml:space="preserve"> </w:t>
      </w:r>
      <w:r w:rsidR="00371E3A" w:rsidRPr="00C97FB5">
        <w:t xml:space="preserve">and </w:t>
      </w:r>
      <w:r w:rsidR="00C97FB5" w:rsidRPr="00C97FB5">
        <w:t>a third synthetic variable</w:t>
      </w:r>
      <w:r w:rsidR="00EB2604">
        <w:t xml:space="preserve">. The three outcome variables were chosen based on their differing levels of </w:t>
      </w:r>
      <w:r w:rsidR="00C97FB5" w:rsidRPr="00C97FB5">
        <w:t>correlation with household income</w:t>
      </w:r>
      <w:r w:rsidR="004C1D2F" w:rsidRPr="00C97FB5">
        <w:t>.</w:t>
      </w:r>
    </w:p>
    <w:p w14:paraId="6B2455C3" w14:textId="536C04A4" w:rsidR="00767E3F" w:rsidRDefault="00767E3F" w:rsidP="0078059D">
      <w:pPr>
        <w:pStyle w:val="L1-FlLSp12"/>
      </w:pPr>
    </w:p>
    <w:p w14:paraId="1153ACB8" w14:textId="7D1B644F" w:rsidR="004F56AD" w:rsidRPr="006D082C" w:rsidRDefault="004F56AD" w:rsidP="004F56AD">
      <w:pPr>
        <w:pStyle w:val="TT-TableTitle"/>
        <w:rPr>
          <w:b w:val="0"/>
          <w:i/>
        </w:rPr>
      </w:pPr>
      <w:r>
        <w:t>Table 3:</w:t>
      </w:r>
      <w:r w:rsidRPr="006D082C">
        <w:rPr>
          <w:b w:val="0"/>
        </w:rPr>
        <w:t xml:space="preserve"> </w:t>
      </w:r>
      <w:r>
        <w:rPr>
          <w:b w:val="0"/>
        </w:rPr>
        <w:t xml:space="preserve">Outcome </w:t>
      </w:r>
      <w:r w:rsidR="005248C5">
        <w:rPr>
          <w:b w:val="0"/>
        </w:rPr>
        <w:t>v</w:t>
      </w:r>
      <w:r>
        <w:rPr>
          <w:b w:val="0"/>
        </w:rPr>
        <w:t xml:space="preserve">ariable </w:t>
      </w:r>
      <w:r w:rsidR="005248C5">
        <w:rPr>
          <w:b w:val="0"/>
        </w:rPr>
        <w:t>d</w:t>
      </w:r>
      <w:r>
        <w:rPr>
          <w:b w:val="0"/>
        </w:rPr>
        <w:t>escriptions</w:t>
      </w:r>
    </w:p>
    <w:tbl>
      <w:tblPr>
        <w:tblW w:w="5000" w:type="pct"/>
        <w:tblLayout w:type="fixed"/>
        <w:tblLook w:val="04A0" w:firstRow="1" w:lastRow="0" w:firstColumn="1" w:lastColumn="0" w:noHBand="0" w:noVBand="1"/>
      </w:tblPr>
      <w:tblGrid>
        <w:gridCol w:w="1438"/>
        <w:gridCol w:w="3152"/>
        <w:gridCol w:w="1259"/>
        <w:gridCol w:w="954"/>
        <w:gridCol w:w="1117"/>
      </w:tblGrid>
      <w:tr w:rsidR="004578D9" w14:paraId="2E5FEEE4" w14:textId="0EEE2055" w:rsidTr="004578D9">
        <w:trPr>
          <w:trHeight w:val="20"/>
        </w:trPr>
        <w:tc>
          <w:tcPr>
            <w:tcW w:w="908" w:type="pct"/>
            <w:tcBorders>
              <w:top w:val="single" w:sz="4" w:space="0" w:color="auto"/>
              <w:bottom w:val="single" w:sz="4" w:space="0" w:color="auto"/>
            </w:tcBorders>
            <w:noWrap/>
            <w:vAlign w:val="bottom"/>
            <w:hideMark/>
          </w:tcPr>
          <w:p w14:paraId="5215DB58" w14:textId="1165E74E" w:rsidR="00EB2604" w:rsidRPr="00A92353" w:rsidRDefault="00EB2604" w:rsidP="004578D9">
            <w:pPr>
              <w:pStyle w:val="TH-TableHeading"/>
              <w:rPr>
                <w:sz w:val="20"/>
              </w:rPr>
            </w:pPr>
            <w:r w:rsidRPr="00A92353">
              <w:rPr>
                <w:sz w:val="20"/>
              </w:rPr>
              <w:t>Outcome variable</w:t>
            </w:r>
          </w:p>
        </w:tc>
        <w:tc>
          <w:tcPr>
            <w:tcW w:w="1990" w:type="pct"/>
            <w:tcBorders>
              <w:top w:val="single" w:sz="4" w:space="0" w:color="auto"/>
              <w:bottom w:val="single" w:sz="4" w:space="0" w:color="auto"/>
            </w:tcBorders>
            <w:vAlign w:val="bottom"/>
          </w:tcPr>
          <w:p w14:paraId="2B8CAA45" w14:textId="77777777" w:rsidR="00EB2604" w:rsidRPr="00A92353" w:rsidRDefault="00EB2604" w:rsidP="00A83BF0">
            <w:pPr>
              <w:pStyle w:val="TH-TableHeading"/>
              <w:rPr>
                <w:sz w:val="20"/>
              </w:rPr>
            </w:pPr>
            <w:r w:rsidRPr="00A92353">
              <w:rPr>
                <w:sz w:val="20"/>
              </w:rPr>
              <w:t>Description</w:t>
            </w:r>
          </w:p>
        </w:tc>
        <w:tc>
          <w:tcPr>
            <w:tcW w:w="795" w:type="pct"/>
            <w:tcBorders>
              <w:top w:val="single" w:sz="4" w:space="0" w:color="auto"/>
              <w:bottom w:val="single" w:sz="4" w:space="0" w:color="auto"/>
            </w:tcBorders>
            <w:noWrap/>
            <w:vAlign w:val="bottom"/>
            <w:hideMark/>
          </w:tcPr>
          <w:p w14:paraId="4E6CD0BD" w14:textId="77777777" w:rsidR="00EB2604" w:rsidRPr="00A92353" w:rsidRDefault="00EB2604" w:rsidP="00A83BF0">
            <w:pPr>
              <w:pStyle w:val="TH-TableHeading"/>
              <w:rPr>
                <w:sz w:val="20"/>
              </w:rPr>
            </w:pPr>
            <w:r w:rsidRPr="00A92353">
              <w:rPr>
                <w:sz w:val="20"/>
              </w:rPr>
              <w:t>Type</w:t>
            </w:r>
          </w:p>
        </w:tc>
        <w:tc>
          <w:tcPr>
            <w:tcW w:w="602" w:type="pct"/>
            <w:tcBorders>
              <w:top w:val="single" w:sz="4" w:space="0" w:color="auto"/>
              <w:bottom w:val="single" w:sz="4" w:space="0" w:color="auto"/>
            </w:tcBorders>
            <w:vAlign w:val="bottom"/>
          </w:tcPr>
          <w:p w14:paraId="3F90BAED" w14:textId="77777777" w:rsidR="00EB2604" w:rsidRPr="00A92353" w:rsidRDefault="00EB2604" w:rsidP="00A83BF0">
            <w:pPr>
              <w:pStyle w:val="TH-TableHeading"/>
              <w:rPr>
                <w:sz w:val="20"/>
              </w:rPr>
            </w:pPr>
            <w:r w:rsidRPr="00A92353">
              <w:rPr>
                <w:sz w:val="20"/>
              </w:rPr>
              <w:t>Values</w:t>
            </w:r>
          </w:p>
        </w:tc>
        <w:tc>
          <w:tcPr>
            <w:tcW w:w="705" w:type="pct"/>
            <w:tcBorders>
              <w:top w:val="single" w:sz="4" w:space="0" w:color="auto"/>
              <w:bottom w:val="single" w:sz="4" w:space="0" w:color="auto"/>
            </w:tcBorders>
          </w:tcPr>
          <w:p w14:paraId="605B05DD" w14:textId="3BC2FC8C" w:rsidR="00EB2604" w:rsidRPr="00A92353" w:rsidRDefault="00EB2604" w:rsidP="004578D9">
            <w:pPr>
              <w:pStyle w:val="TH-TableHeading"/>
              <w:ind w:left="-58" w:right="-58"/>
              <w:rPr>
                <w:sz w:val="20"/>
              </w:rPr>
            </w:pPr>
            <w:r>
              <w:rPr>
                <w:sz w:val="20"/>
              </w:rPr>
              <w:t>Correlation with household income</w:t>
            </w:r>
          </w:p>
        </w:tc>
      </w:tr>
      <w:tr w:rsidR="004578D9" w14:paraId="33EA5E99" w14:textId="1EFCD6D7" w:rsidTr="004578D9">
        <w:trPr>
          <w:trHeight w:val="20"/>
        </w:trPr>
        <w:tc>
          <w:tcPr>
            <w:tcW w:w="908" w:type="pct"/>
            <w:noWrap/>
          </w:tcPr>
          <w:p w14:paraId="52B1F485" w14:textId="77777777" w:rsidR="00EB2604" w:rsidRPr="00A92353" w:rsidRDefault="00EB2604" w:rsidP="002A280D">
            <w:pPr>
              <w:pStyle w:val="TX-TableText"/>
              <w:rPr>
                <w:color w:val="000000" w:themeColor="text1"/>
                <w:sz w:val="20"/>
              </w:rPr>
            </w:pPr>
            <w:r w:rsidRPr="00A92353">
              <w:rPr>
                <w:sz w:val="20"/>
              </w:rPr>
              <w:t>Health Insurance</w:t>
            </w:r>
          </w:p>
        </w:tc>
        <w:tc>
          <w:tcPr>
            <w:tcW w:w="1990" w:type="pct"/>
          </w:tcPr>
          <w:p w14:paraId="0FFE772C" w14:textId="00583C6C" w:rsidR="00EB2604" w:rsidRPr="00A92353" w:rsidRDefault="00EB2604" w:rsidP="00A92353">
            <w:pPr>
              <w:pStyle w:val="TX-TableText"/>
              <w:rPr>
                <w:color w:val="000000" w:themeColor="text1"/>
                <w:sz w:val="20"/>
              </w:rPr>
            </w:pPr>
            <w:r w:rsidRPr="00A92353">
              <w:rPr>
                <w:sz w:val="20"/>
              </w:rPr>
              <w:t>Percentage of households where all members have health insurance</w:t>
            </w:r>
          </w:p>
        </w:tc>
        <w:tc>
          <w:tcPr>
            <w:tcW w:w="795" w:type="pct"/>
            <w:noWrap/>
          </w:tcPr>
          <w:p w14:paraId="302E9932" w14:textId="26DB7CC8" w:rsidR="00EB2604" w:rsidRPr="00A92353" w:rsidRDefault="00EB2604" w:rsidP="002A280D">
            <w:pPr>
              <w:pStyle w:val="TX-TableText"/>
              <w:rPr>
                <w:color w:val="000000" w:themeColor="text1"/>
                <w:sz w:val="20"/>
              </w:rPr>
            </w:pPr>
            <w:r w:rsidRPr="00A92353">
              <w:rPr>
                <w:color w:val="000000" w:themeColor="text1"/>
                <w:sz w:val="20"/>
              </w:rPr>
              <w:t>Percentage</w:t>
            </w:r>
          </w:p>
        </w:tc>
        <w:tc>
          <w:tcPr>
            <w:tcW w:w="602" w:type="pct"/>
          </w:tcPr>
          <w:p w14:paraId="546EA630" w14:textId="400EBE59" w:rsidR="00EB2604" w:rsidRPr="00A92353" w:rsidRDefault="00EB2604" w:rsidP="002A280D">
            <w:pPr>
              <w:pStyle w:val="TX-TableText"/>
              <w:rPr>
                <w:color w:val="000000" w:themeColor="text1"/>
                <w:sz w:val="20"/>
              </w:rPr>
            </w:pPr>
            <w:r w:rsidRPr="00A92353">
              <w:rPr>
                <w:sz w:val="20"/>
              </w:rPr>
              <w:t>0-1</w:t>
            </w:r>
          </w:p>
        </w:tc>
        <w:tc>
          <w:tcPr>
            <w:tcW w:w="705" w:type="pct"/>
          </w:tcPr>
          <w:p w14:paraId="64CAAAA1" w14:textId="6166B066" w:rsidR="00EB2604" w:rsidRPr="00A92353" w:rsidRDefault="00EB2604" w:rsidP="002A280D">
            <w:pPr>
              <w:pStyle w:val="TX-TableText"/>
              <w:rPr>
                <w:sz w:val="20"/>
              </w:rPr>
            </w:pPr>
            <w:r>
              <w:rPr>
                <w:sz w:val="20"/>
              </w:rPr>
              <w:t>-0.14</w:t>
            </w:r>
          </w:p>
        </w:tc>
      </w:tr>
      <w:tr w:rsidR="004578D9" w14:paraId="30243B0B" w14:textId="4E00C8FD" w:rsidTr="004578D9">
        <w:trPr>
          <w:trHeight w:val="20"/>
        </w:trPr>
        <w:tc>
          <w:tcPr>
            <w:tcW w:w="908" w:type="pct"/>
            <w:noWrap/>
          </w:tcPr>
          <w:p w14:paraId="51D3A7AA" w14:textId="7EEE37C2" w:rsidR="00EB2604" w:rsidRPr="00A92353" w:rsidRDefault="00EB2604" w:rsidP="002A280D">
            <w:pPr>
              <w:pStyle w:val="TX-TableText"/>
              <w:rPr>
                <w:sz w:val="20"/>
              </w:rPr>
            </w:pPr>
            <w:r w:rsidRPr="00A92353">
              <w:rPr>
                <w:sz w:val="20"/>
              </w:rPr>
              <w:t>Bachelor</w:t>
            </w:r>
            <w:r w:rsidR="00600ACE">
              <w:rPr>
                <w:sz w:val="20"/>
              </w:rPr>
              <w:t>’</w:t>
            </w:r>
            <w:r w:rsidRPr="00A92353">
              <w:rPr>
                <w:sz w:val="20"/>
              </w:rPr>
              <w:t>s degree</w:t>
            </w:r>
          </w:p>
        </w:tc>
        <w:tc>
          <w:tcPr>
            <w:tcW w:w="1990" w:type="pct"/>
          </w:tcPr>
          <w:p w14:paraId="3FD415AD" w14:textId="45F0FE4A" w:rsidR="00EB2604" w:rsidRPr="00A92353" w:rsidRDefault="00EB2604" w:rsidP="002A280D">
            <w:pPr>
              <w:pStyle w:val="TX-TableText"/>
              <w:rPr>
                <w:sz w:val="20"/>
              </w:rPr>
            </w:pPr>
            <w:r w:rsidRPr="00A92353">
              <w:rPr>
                <w:sz w:val="20"/>
              </w:rPr>
              <w:t>Percentage of households that have at least one member with a bachelor</w:t>
            </w:r>
            <w:r w:rsidR="00600ACE">
              <w:rPr>
                <w:sz w:val="20"/>
              </w:rPr>
              <w:t>’</w:t>
            </w:r>
            <w:r w:rsidRPr="00A92353">
              <w:rPr>
                <w:sz w:val="20"/>
              </w:rPr>
              <w:t>s degree</w:t>
            </w:r>
          </w:p>
        </w:tc>
        <w:tc>
          <w:tcPr>
            <w:tcW w:w="795" w:type="pct"/>
            <w:noWrap/>
          </w:tcPr>
          <w:p w14:paraId="46505D6C" w14:textId="06F22DA3" w:rsidR="00EB2604" w:rsidRPr="00A92353" w:rsidRDefault="00EB2604" w:rsidP="002A280D">
            <w:pPr>
              <w:pStyle w:val="TX-TableText"/>
              <w:rPr>
                <w:color w:val="000000" w:themeColor="text1"/>
                <w:sz w:val="20"/>
              </w:rPr>
            </w:pPr>
            <w:r w:rsidRPr="00A92353">
              <w:rPr>
                <w:color w:val="000000" w:themeColor="text1"/>
                <w:sz w:val="20"/>
              </w:rPr>
              <w:t>Percentage</w:t>
            </w:r>
          </w:p>
        </w:tc>
        <w:tc>
          <w:tcPr>
            <w:tcW w:w="602" w:type="pct"/>
          </w:tcPr>
          <w:p w14:paraId="141CCE54" w14:textId="4D9CC325" w:rsidR="00EB2604" w:rsidRPr="00A92353" w:rsidRDefault="00EB2604" w:rsidP="002A280D">
            <w:pPr>
              <w:pStyle w:val="TX-TableText"/>
              <w:rPr>
                <w:sz w:val="20"/>
              </w:rPr>
            </w:pPr>
            <w:r w:rsidRPr="00A92353">
              <w:rPr>
                <w:sz w:val="20"/>
              </w:rPr>
              <w:t xml:space="preserve">0-1 </w:t>
            </w:r>
          </w:p>
        </w:tc>
        <w:tc>
          <w:tcPr>
            <w:tcW w:w="705" w:type="pct"/>
          </w:tcPr>
          <w:p w14:paraId="0F2B7E56" w14:textId="0314B73C" w:rsidR="00EB2604" w:rsidRPr="00A92353" w:rsidRDefault="00EB2604" w:rsidP="002A280D">
            <w:pPr>
              <w:pStyle w:val="TX-TableText"/>
              <w:rPr>
                <w:sz w:val="20"/>
              </w:rPr>
            </w:pPr>
            <w:r>
              <w:rPr>
                <w:sz w:val="20"/>
              </w:rPr>
              <w:t>0.40</w:t>
            </w:r>
          </w:p>
        </w:tc>
      </w:tr>
      <w:tr w:rsidR="004578D9" w14:paraId="2F4815EF" w14:textId="129A565A" w:rsidTr="004578D9">
        <w:trPr>
          <w:trHeight w:val="20"/>
        </w:trPr>
        <w:tc>
          <w:tcPr>
            <w:tcW w:w="908" w:type="pct"/>
            <w:tcBorders>
              <w:bottom w:val="single" w:sz="4" w:space="0" w:color="auto"/>
            </w:tcBorders>
            <w:noWrap/>
          </w:tcPr>
          <w:p w14:paraId="225D9998" w14:textId="1AEECAEF" w:rsidR="00EB2604" w:rsidRPr="00A92353" w:rsidRDefault="00EB2604" w:rsidP="006951A1">
            <w:pPr>
              <w:pStyle w:val="TX-TableText"/>
              <w:rPr>
                <w:sz w:val="20"/>
              </w:rPr>
            </w:pPr>
            <w:r>
              <w:rPr>
                <w:sz w:val="20"/>
              </w:rPr>
              <w:t>Synthetic</w:t>
            </w:r>
          </w:p>
        </w:tc>
        <w:tc>
          <w:tcPr>
            <w:tcW w:w="1990" w:type="pct"/>
            <w:tcBorders>
              <w:bottom w:val="single" w:sz="4" w:space="0" w:color="auto"/>
            </w:tcBorders>
          </w:tcPr>
          <w:p w14:paraId="7BDA15FD" w14:textId="0DF1EA0C" w:rsidR="00EB2604" w:rsidRPr="00A92353" w:rsidRDefault="00EB2604" w:rsidP="002A280D">
            <w:pPr>
              <w:pStyle w:val="TX-TableText"/>
              <w:rPr>
                <w:sz w:val="20"/>
              </w:rPr>
            </w:pPr>
            <w:r>
              <w:rPr>
                <w:sz w:val="20"/>
              </w:rPr>
              <w:t xml:space="preserve">Synthetically created variable </w:t>
            </w:r>
          </w:p>
        </w:tc>
        <w:tc>
          <w:tcPr>
            <w:tcW w:w="795" w:type="pct"/>
            <w:tcBorders>
              <w:bottom w:val="single" w:sz="4" w:space="0" w:color="auto"/>
            </w:tcBorders>
            <w:noWrap/>
          </w:tcPr>
          <w:p w14:paraId="788A74DB" w14:textId="59030DC1" w:rsidR="00EB2604" w:rsidRPr="00A92353" w:rsidRDefault="00EB2604" w:rsidP="002A280D">
            <w:pPr>
              <w:pStyle w:val="TX-TableText"/>
              <w:rPr>
                <w:color w:val="000000" w:themeColor="text1"/>
                <w:sz w:val="20"/>
              </w:rPr>
            </w:pPr>
            <w:r>
              <w:rPr>
                <w:color w:val="000000" w:themeColor="text1"/>
                <w:sz w:val="20"/>
              </w:rPr>
              <w:t>Continuous</w:t>
            </w:r>
          </w:p>
        </w:tc>
        <w:tc>
          <w:tcPr>
            <w:tcW w:w="602" w:type="pct"/>
            <w:tcBorders>
              <w:bottom w:val="single" w:sz="4" w:space="0" w:color="auto"/>
            </w:tcBorders>
          </w:tcPr>
          <w:p w14:paraId="72B1EFC4" w14:textId="05D06ED7" w:rsidR="00EB2604" w:rsidRPr="00A92353" w:rsidRDefault="00EB2604" w:rsidP="002A280D">
            <w:pPr>
              <w:pStyle w:val="TX-TableText"/>
              <w:rPr>
                <w:sz w:val="20"/>
              </w:rPr>
            </w:pPr>
            <w:r>
              <w:rPr>
                <w:sz w:val="20"/>
              </w:rPr>
              <w:t>0+</w:t>
            </w:r>
          </w:p>
        </w:tc>
        <w:tc>
          <w:tcPr>
            <w:tcW w:w="705" w:type="pct"/>
            <w:tcBorders>
              <w:bottom w:val="single" w:sz="4" w:space="0" w:color="auto"/>
            </w:tcBorders>
          </w:tcPr>
          <w:p w14:paraId="45EF7B82" w14:textId="719F507C" w:rsidR="00EB2604" w:rsidRDefault="00EB2604" w:rsidP="002A280D">
            <w:pPr>
              <w:pStyle w:val="TX-TableText"/>
              <w:rPr>
                <w:sz w:val="20"/>
              </w:rPr>
            </w:pPr>
            <w:r>
              <w:rPr>
                <w:sz w:val="20"/>
              </w:rPr>
              <w:t>0.65</w:t>
            </w:r>
          </w:p>
        </w:tc>
      </w:tr>
    </w:tbl>
    <w:p w14:paraId="71FAF3FF" w14:textId="436F7778" w:rsidR="004F56AD" w:rsidRDefault="004F56AD" w:rsidP="0078059D">
      <w:pPr>
        <w:pStyle w:val="L1-FlLSp12"/>
      </w:pPr>
    </w:p>
    <w:p w14:paraId="26ED18F0" w14:textId="1EE42210" w:rsidR="00767E3F" w:rsidRDefault="004C1D2F" w:rsidP="0078059D">
      <w:pPr>
        <w:pStyle w:val="L1-FlLSp12"/>
      </w:pPr>
      <w:r>
        <w:t xml:space="preserve">The population frame included </w:t>
      </w:r>
      <w:r w:rsidRPr="00C97FB5">
        <w:t xml:space="preserve">39 variables selected as predictors for nonresponse. Of those variables, 35 were household-level characteristics, while the remaining </w:t>
      </w:r>
      <w:r w:rsidR="00766BBE" w:rsidRPr="00C97FB5">
        <w:t xml:space="preserve">4 </w:t>
      </w:r>
      <w:r w:rsidRPr="00C97FB5">
        <w:t>were person-level characteristics derived by summar</w:t>
      </w:r>
      <w:r w:rsidR="005248C5" w:rsidRPr="00C97FB5">
        <w:t>iz</w:t>
      </w:r>
      <w:r w:rsidRPr="00C97FB5">
        <w:t>i</w:t>
      </w:r>
      <w:r w:rsidR="005248C5" w:rsidRPr="00C97FB5">
        <w:t>ng</w:t>
      </w:r>
      <w:r w:rsidRPr="00C97FB5">
        <w:t xml:space="preserve"> to the household level the corresponding person-level variables. The 39 predictors included </w:t>
      </w:r>
      <w:r w:rsidR="00766BBE" w:rsidRPr="00C97FB5">
        <w:t xml:space="preserve">4 </w:t>
      </w:r>
      <w:r w:rsidRPr="00C97FB5">
        <w:t>continuous variables and 35 categorical variables. The categorical variables were recoded such that the smallest category contained at least 5 percent of the households in the population.</w:t>
      </w:r>
      <w:r>
        <w:t xml:space="preserve"> Most tree algorithm packages used in the simulation do not handle predictors with missing values</w:t>
      </w:r>
      <w:r w:rsidR="00FD1247">
        <w:t xml:space="preserve">; </w:t>
      </w:r>
      <w:r w:rsidR="00312767">
        <w:t>therefore, missing values were assigned to a separate category</w:t>
      </w:r>
      <w:r>
        <w:t>.</w:t>
      </w:r>
    </w:p>
    <w:p w14:paraId="70E286ED" w14:textId="77777777" w:rsidR="00767E3F" w:rsidRDefault="00767E3F" w:rsidP="0078059D">
      <w:pPr>
        <w:pStyle w:val="L1-FlLSp12"/>
      </w:pPr>
    </w:p>
    <w:p w14:paraId="40E14396" w14:textId="02F92A41" w:rsidR="00767E3F" w:rsidRDefault="004C1D2F" w:rsidP="0078059D">
      <w:pPr>
        <w:pStyle w:val="L1-FlLSp12"/>
      </w:pPr>
      <w:r>
        <w:t xml:space="preserve">The models predicting response propensities were fit using the methods in the statistical software packages discussed in </w:t>
      </w:r>
      <w:r w:rsidR="000E4072">
        <w:t>S</w:t>
      </w:r>
      <w:r>
        <w:t>ection 2. The fitted response propensity models were then used to compute weighting classes and nonresponse adjustment factors to adjust the design weights. Final weighted estimates of mean or proportions adjusted for unbalanced sample selection and nonresponse bias were computed for the outcome variables discussed above and compared against the true values from the population. The statistics examine</w:t>
      </w:r>
      <w:r w:rsidR="000E4072">
        <w:t>d</w:t>
      </w:r>
      <w:r>
        <w:t xml:space="preserve"> for comparing the estimators </w:t>
      </w:r>
      <m:oMath>
        <m:sSub>
          <m:sSubPr>
            <m:ctrlPr>
              <w:rPr>
                <w:rFonts w:ascii="Cambria Math" w:hAnsi="Cambria Math"/>
              </w:rPr>
            </m:ctrlPr>
          </m:sSubPr>
          <m:e>
            <m:acc>
              <m:accPr>
                <m:ctrlPr>
                  <w:rPr>
                    <w:rFonts w:ascii="Cambria Math" w:hAnsi="Cambria Math"/>
                  </w:rPr>
                </m:ctrlPr>
              </m:accPr>
              <m:e>
                <m:acc>
                  <m:accPr>
                    <m:chr m:val="̅"/>
                    <m:ctrlPr>
                      <w:rPr>
                        <w:rFonts w:ascii="Cambria Math" w:hAnsi="Cambria Math"/>
                        <w:i/>
                      </w:rPr>
                    </m:ctrlPr>
                  </m:accPr>
                  <m:e>
                    <m:r>
                      <w:rPr>
                        <w:rFonts w:ascii="Cambria Math" w:hAnsi="Cambria Math"/>
                      </w:rPr>
                      <m:t>Y</m:t>
                    </m:r>
                  </m:e>
                </m:acc>
              </m:e>
            </m:acc>
          </m:e>
          <m:sub>
            <m:r>
              <w:rPr>
                <w:rFonts w:ascii="Cambria Math" w:hAnsi="Cambria Math"/>
              </w:rPr>
              <m:t>E</m:t>
            </m:r>
          </m:sub>
        </m:sSub>
      </m:oMath>
      <w:r>
        <w:t xml:space="preserve"> are the </w:t>
      </w:r>
      <w:r w:rsidR="00E165B2">
        <w:t xml:space="preserve">absolute </w:t>
      </w:r>
      <w:r>
        <w:t>empirical relative bias</w:t>
      </w:r>
      <w:r w:rsidR="00360BF3">
        <w:t xml:space="preserve"> (</w:t>
      </w:r>
      <w:r w:rsidR="00BD50E5">
        <w:t>RelBias)</w:t>
      </w:r>
      <w:r>
        <w:t>, and empirical relative root mean squared error</w:t>
      </w:r>
      <w:r w:rsidR="00360BF3">
        <w:t xml:space="preserve"> (RRMSE)</w:t>
      </w:r>
      <w:r w:rsidR="00766BBE">
        <w:t>,</w:t>
      </w:r>
      <w:r>
        <w:t xml:space="preserve"> defined as</w:t>
      </w:r>
    </w:p>
    <w:p w14:paraId="1CEAA437" w14:textId="77777777" w:rsidR="00767E3F" w:rsidRDefault="00767E3F" w:rsidP="0078059D">
      <w:pPr>
        <w:pStyle w:val="L1-FlLSp12"/>
      </w:pPr>
    </w:p>
    <w:p w14:paraId="70AA99D6" w14:textId="3B8DD805" w:rsidR="00767E3F" w:rsidRDefault="004C1D2F" w:rsidP="00A92353">
      <w:pPr>
        <w:pStyle w:val="E1-Equation"/>
        <w:jc w:val="center"/>
        <w:rPr>
          <w:rFonts w:eastAsiaTheme="minorEastAsia"/>
        </w:rPr>
      </w:pPr>
      <m:oMath>
        <m:r>
          <w:rPr>
            <w:rFonts w:ascii="Cambria Math" w:hAnsi="Cambria Math"/>
          </w:rPr>
          <m:t>Absolute</m:t>
        </m:r>
        <m:r>
          <m:rPr>
            <m:sty m:val="p"/>
          </m:rPr>
          <w:rPr>
            <w:rFonts w:ascii="Cambria Math" w:hAnsi="Cambria Math"/>
          </w:rPr>
          <m:t xml:space="preserve"> </m:t>
        </m:r>
        <m:r>
          <w:rPr>
            <w:rFonts w:ascii="Cambria Math" w:hAnsi="Cambria Math"/>
          </w:rPr>
          <m:t>Emperical Relative</m:t>
        </m:r>
        <m:r>
          <m:rPr>
            <m:sty m:val="p"/>
          </m:rPr>
          <w:rPr>
            <w:rFonts w:ascii="Cambria Math" w:hAnsi="Cambria Math"/>
          </w:rPr>
          <m:t xml:space="preserve"> </m:t>
        </m:r>
        <m:r>
          <w:rPr>
            <w:rFonts w:ascii="Cambria Math" w:hAnsi="Cambria Math"/>
          </w:rPr>
          <m:t>Bias</m:t>
        </m:r>
        <m:r>
          <m:rPr>
            <m:sty m:val="p"/>
          </m:rPr>
          <w:rPr>
            <w:rFonts w:ascii="Cambria Math" w:hAnsi="Cambria Math"/>
          </w:rPr>
          <m:t>:</m:t>
        </m:r>
        <m:r>
          <w:rPr>
            <w:rFonts w:ascii="Cambria Math" w:hAnsi="Cambria Math"/>
          </w:rPr>
          <m:t>RelBias</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acc>
                      <m:accPr>
                        <m:chr m:val="̅"/>
                        <m:ctrlPr>
                          <w:rPr>
                            <w:rFonts w:ascii="Cambria Math" w:hAnsi="Cambria Math"/>
                          </w:rPr>
                        </m:ctrlPr>
                      </m:accPr>
                      <m:e>
                        <m:r>
                          <w:rPr>
                            <w:rFonts w:ascii="Cambria Math" w:hAnsi="Cambria Math"/>
                          </w:rPr>
                          <m:t>Y</m:t>
                        </m:r>
                      </m:e>
                    </m:acc>
                  </m:e>
                </m:acc>
              </m:e>
              <m:sub>
                <m:r>
                  <w:rPr>
                    <w:rFonts w:ascii="Cambria Math" w:hAnsi="Cambria Math"/>
                  </w:rPr>
                  <m:t>E</m:t>
                </m:r>
              </m:sub>
            </m:sSub>
          </m:e>
        </m:d>
        <m:r>
          <m:rPr>
            <m:sty m:val="p"/>
          </m:rPr>
          <w:rPr>
            <w:rFonts w:ascii="Cambria Math" w:hAnsi="Cambria Math"/>
          </w:rPr>
          <m:t>%=|100×</m:t>
        </m:r>
        <m:sSup>
          <m:sSupPr>
            <m:ctrlPr>
              <w:rPr>
                <w:rFonts w:ascii="Cambria Math" w:hAnsi="Cambria Math"/>
              </w:rPr>
            </m:ctrlPr>
          </m:sSupPr>
          <m:e>
            <m:r>
              <w:rPr>
                <w:rFonts w:ascii="Cambria Math" w:hAnsi="Cambria Math"/>
              </w:rPr>
              <m:t>B</m:t>
            </m:r>
          </m:e>
          <m:sup>
            <m:r>
              <m:rPr>
                <m:sty m:val="p"/>
              </m:rPr>
              <w:rPr>
                <w:rFonts w:ascii="Cambria Math" w:hAnsi="Cambria Math"/>
              </w:rPr>
              <m:t>-1</m:t>
            </m:r>
          </m:sup>
        </m:sSup>
        <m:nary>
          <m:naryPr>
            <m:chr m:val="∑"/>
            <m:limLoc m:val="subSup"/>
            <m:ctrlPr>
              <w:rPr>
                <w:rFonts w:ascii="Cambria Math" w:hAnsi="Cambria Math"/>
              </w:rPr>
            </m:ctrlPr>
          </m:naryPr>
          <m:sub>
            <m:r>
              <w:rPr>
                <w:rFonts w:ascii="Cambria Math" w:hAnsi="Cambria Math"/>
              </w:rPr>
              <m:t>b</m:t>
            </m:r>
            <m:r>
              <m:rPr>
                <m:sty m:val="p"/>
              </m:rPr>
              <w:rPr>
                <w:rFonts w:ascii="Cambria Math" w:hAnsi="Cambria Math"/>
              </w:rPr>
              <m:t>=1</m:t>
            </m:r>
          </m:sub>
          <m:sup>
            <m:r>
              <w:rPr>
                <w:rFonts w:ascii="Cambria Math" w:hAnsi="Cambria Math"/>
              </w:rPr>
              <m:t>B</m:t>
            </m:r>
          </m:sup>
          <m:e>
            <m:f>
              <m:fPr>
                <m:ctrlPr>
                  <w:rPr>
                    <w:rFonts w:ascii="Cambria Math" w:hAnsi="Cambria Math"/>
                  </w:rPr>
                </m:ctrlPr>
              </m:fPr>
              <m:num>
                <m:sSub>
                  <m:sSubPr>
                    <m:ctrlPr>
                      <w:rPr>
                        <w:rFonts w:ascii="Cambria Math" w:hAnsi="Cambria Math"/>
                      </w:rPr>
                    </m:ctrlPr>
                  </m:sSubPr>
                  <m:e>
                    <m:acc>
                      <m:accPr>
                        <m:ctrlPr>
                          <w:rPr>
                            <w:rFonts w:ascii="Cambria Math" w:hAnsi="Cambria Math"/>
                          </w:rPr>
                        </m:ctrlPr>
                      </m:accPr>
                      <m:e>
                        <m:acc>
                          <m:accPr>
                            <m:chr m:val="̅"/>
                            <m:ctrlPr>
                              <w:rPr>
                                <w:rFonts w:ascii="Cambria Math" w:hAnsi="Cambria Math"/>
                              </w:rPr>
                            </m:ctrlPr>
                          </m:accPr>
                          <m:e>
                            <m:r>
                              <w:rPr>
                                <w:rFonts w:ascii="Cambria Math" w:hAnsi="Cambria Math"/>
                              </w:rPr>
                              <m:t>Y</m:t>
                            </m:r>
                          </m:e>
                        </m:acc>
                      </m:e>
                    </m:acc>
                  </m:e>
                  <m:sub>
                    <m:r>
                      <w:rPr>
                        <w:rFonts w:ascii="Cambria Math" w:hAnsi="Cambria Math"/>
                      </w:rPr>
                      <m:t>E</m:t>
                    </m:r>
                    <m:r>
                      <m:rPr>
                        <m:sty m:val="p"/>
                      </m:rPr>
                      <w:rPr>
                        <w:rFonts w:ascii="Cambria Math" w:hAnsi="Cambria Math"/>
                      </w:rPr>
                      <m:t>,</m:t>
                    </m:r>
                    <m:r>
                      <w:rPr>
                        <w:rFonts w:ascii="Cambria Math" w:hAnsi="Cambria Math"/>
                      </w:rPr>
                      <m:t>b</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num>
              <m:den>
                <m:acc>
                  <m:accPr>
                    <m:chr m:val="̅"/>
                    <m:ctrlPr>
                      <w:rPr>
                        <w:rFonts w:ascii="Cambria Math" w:hAnsi="Cambria Math"/>
                      </w:rPr>
                    </m:ctrlPr>
                  </m:accPr>
                  <m:e>
                    <m:r>
                      <w:rPr>
                        <w:rFonts w:ascii="Cambria Math" w:hAnsi="Cambria Math"/>
                      </w:rPr>
                      <m:t>Y</m:t>
                    </m:r>
                  </m:e>
                </m:acc>
              </m:den>
            </m:f>
          </m:e>
        </m:nary>
        <m:r>
          <m:rPr>
            <m:sty m:val="p"/>
          </m:rPr>
          <w:rPr>
            <w:rFonts w:ascii="Cambria Math" w:hAnsi="Cambria Math"/>
          </w:rPr>
          <m:t>|</m:t>
        </m:r>
      </m:oMath>
      <w:r>
        <w:rPr>
          <w:rFonts w:eastAsiaTheme="minorEastAsia"/>
        </w:rPr>
        <w:t>, as</w:t>
      </w:r>
    </w:p>
    <w:p w14:paraId="3E4F35C8" w14:textId="4BA4FC13" w:rsidR="00767E3F" w:rsidRDefault="004C1D2F" w:rsidP="00A92353">
      <w:pPr>
        <w:pStyle w:val="E1-Equation"/>
        <w:jc w:val="center"/>
        <w:rPr>
          <w:rFonts w:eastAsiaTheme="minorEastAsia"/>
        </w:rPr>
      </w:pPr>
      <m:oMath>
        <m:r>
          <w:rPr>
            <w:rFonts w:ascii="Cambria Math" w:hAnsi="Cambria Math"/>
          </w:rPr>
          <m:t>Relative</m:t>
        </m:r>
        <m:r>
          <m:rPr>
            <m:sty m:val="p"/>
          </m:rPr>
          <w:rPr>
            <w:rFonts w:ascii="Cambria Math" w:hAnsi="Cambria Math"/>
          </w:rPr>
          <m:t xml:space="preserve"> </m:t>
        </m:r>
        <m:r>
          <w:rPr>
            <w:rFonts w:ascii="Cambria Math" w:hAnsi="Cambria Math"/>
          </w:rPr>
          <m:t>Root</m:t>
        </m:r>
        <m:r>
          <m:rPr>
            <m:sty m:val="p"/>
          </m:rPr>
          <w:rPr>
            <w:rFonts w:ascii="Cambria Math" w:hAnsi="Cambria Math"/>
          </w:rPr>
          <m:t xml:space="preserve"> </m:t>
        </m:r>
        <m:r>
          <w:rPr>
            <w:rFonts w:ascii="Cambria Math" w:hAnsi="Cambria Math"/>
          </w:rPr>
          <m:t>Mean</m:t>
        </m:r>
        <m:r>
          <m:rPr>
            <m:sty m:val="p"/>
          </m:rPr>
          <w:rPr>
            <w:rFonts w:ascii="Cambria Math" w:hAnsi="Cambria Math"/>
          </w:rPr>
          <m:t xml:space="preserve"> </m:t>
        </m:r>
        <m:r>
          <w:rPr>
            <w:rFonts w:ascii="Cambria Math" w:hAnsi="Cambria Math"/>
          </w:rPr>
          <m:t>Squared</m:t>
        </m:r>
        <m:r>
          <m:rPr>
            <m:sty m:val="p"/>
          </m:rPr>
          <w:rPr>
            <w:rFonts w:ascii="Cambria Math" w:hAnsi="Cambria Math"/>
          </w:rPr>
          <m:t xml:space="preserve"> </m:t>
        </m:r>
        <m:r>
          <w:rPr>
            <w:rFonts w:ascii="Cambria Math" w:hAnsi="Cambria Math"/>
          </w:rPr>
          <m:t>Error</m:t>
        </m:r>
        <m:r>
          <m:rPr>
            <m:sty m:val="p"/>
          </m:rPr>
          <w:rPr>
            <w:rFonts w:ascii="Cambria Math" w:hAnsi="Cambria Math"/>
          </w:rPr>
          <m:t>:</m:t>
        </m:r>
        <m:r>
          <w:rPr>
            <w:rFonts w:ascii="Cambria Math" w:hAnsi="Cambria Math"/>
          </w:rPr>
          <m:t>RRMSE</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MSE</m:t>
                </m:r>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acc>
                          <m:accPr>
                            <m:chr m:val="̅"/>
                            <m:ctrlPr>
                              <w:rPr>
                                <w:rFonts w:ascii="Cambria Math" w:hAnsi="Cambria Math"/>
                                <w:i/>
                              </w:rPr>
                            </m:ctrlPr>
                          </m:accPr>
                          <m:e>
                            <m:r>
                              <w:rPr>
                                <w:rFonts w:ascii="Cambria Math" w:hAnsi="Cambria Math"/>
                              </w:rPr>
                              <m:t>Y</m:t>
                            </m:r>
                          </m:e>
                        </m:acc>
                      </m:e>
                    </m:acc>
                  </m:e>
                  <m:sub>
                    <m:r>
                      <w:rPr>
                        <w:rFonts w:ascii="Cambria Math" w:hAnsi="Cambria Math"/>
                      </w:rPr>
                      <m:t>E</m:t>
                    </m:r>
                  </m:sub>
                </m:sSub>
                <m:r>
                  <m:rPr>
                    <m:sty m:val="p"/>
                  </m:rPr>
                  <w:rPr>
                    <w:rFonts w:ascii="Cambria Math" w:hAnsi="Cambria Math"/>
                  </w:rPr>
                  <m:t>)</m:t>
                </m:r>
              </m:num>
              <m:den>
                <m:sSup>
                  <m:sSupPr>
                    <m:ctrlPr>
                      <w:rPr>
                        <w:rFonts w:ascii="Cambria Math" w:hAnsi="Cambria Math"/>
                      </w:rPr>
                    </m:ctrlPr>
                  </m:sSupPr>
                  <m:e>
                    <m:acc>
                      <m:accPr>
                        <m:chr m:val="̅"/>
                        <m:ctrlPr>
                          <w:rPr>
                            <w:rFonts w:ascii="Cambria Math" w:hAnsi="Cambria Math"/>
                            <w:i/>
                          </w:rPr>
                        </m:ctrlPr>
                      </m:accPr>
                      <m:e>
                        <m:r>
                          <w:rPr>
                            <w:rFonts w:ascii="Cambria Math" w:hAnsi="Cambria Math"/>
                          </w:rPr>
                          <m:t>Y</m:t>
                        </m:r>
                      </m:e>
                    </m:acc>
                  </m:e>
                  <m:sup>
                    <m:r>
                      <m:rPr>
                        <m:sty m:val="p"/>
                      </m:rPr>
                      <w:rPr>
                        <w:rFonts w:ascii="Cambria Math" w:hAnsi="Cambria Math"/>
                      </w:rPr>
                      <m:t>2</m:t>
                    </m:r>
                  </m:sup>
                </m:sSup>
              </m:den>
            </m:f>
          </m:e>
        </m:rad>
      </m:oMath>
      <w:r>
        <w:rPr>
          <w:rFonts w:eastAsiaTheme="minorEastAsia"/>
        </w:rPr>
        <w:t>,</w:t>
      </w:r>
    </w:p>
    <w:p w14:paraId="7FCEFE5D" w14:textId="1AB184B6" w:rsidR="00767E3F" w:rsidRDefault="004C1D2F">
      <w:pPr>
        <w:pStyle w:val="L1-FlLSp12"/>
        <w:rPr>
          <w:rFonts w:eastAsiaTheme="minorEastAsia"/>
        </w:rPr>
      </w:pPr>
      <w:r>
        <w:t xml:space="preserve">where </w:t>
      </w:r>
      <w:r w:rsidR="00965541">
        <w:rPr>
          <w:noProof/>
          <w:position w:val="-4"/>
        </w:rPr>
        <w:object w:dxaOrig="240" w:dyaOrig="260" w14:anchorId="544C1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1pt;height:12.65pt;mso-width-percent:0;mso-height-percent:0;mso-width-percent:0;mso-height-percent:0" o:ole="">
            <v:imagedata r:id="rId8" o:title=""/>
          </v:shape>
          <o:OLEObject Type="Embed" ProgID="Equation.DSMT4" ShapeID="_x0000_i1025" DrawAspect="Content" ObjectID="_1757926123" r:id="rId9"/>
        </w:object>
      </w:r>
      <w:r>
        <w:t xml:space="preserve"> is the number of simulations runs and </w:t>
      </w:r>
      <m:oMath>
        <m:r>
          <w:rPr>
            <w:rFonts w:ascii="Cambria Math" w:hAnsi="Cambria Math"/>
          </w:rPr>
          <m:t>MSE</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E</m:t>
                </m:r>
              </m:sub>
            </m:sSub>
          </m:e>
        </m:d>
      </m:oMath>
      <w:r>
        <w:t xml:space="preserve"> is the empirical mean squared error of </w:t>
      </w:r>
      <m:oMath>
        <m:sSub>
          <m:sSubPr>
            <m:ctrlPr>
              <w:rPr>
                <w:rFonts w:ascii="Cambria Math" w:hAnsi="Cambria Math"/>
              </w:rPr>
            </m:ctrlPr>
          </m:sSubPr>
          <m:e>
            <m:acc>
              <m:accPr>
                <m:ctrlPr>
                  <w:rPr>
                    <w:rFonts w:ascii="Cambria Math" w:hAnsi="Cambria Math"/>
                  </w:rPr>
                </m:ctrlPr>
              </m:accPr>
              <m:e>
                <m:acc>
                  <m:accPr>
                    <m:chr m:val="̅"/>
                    <m:ctrlPr>
                      <w:rPr>
                        <w:rFonts w:ascii="Cambria Math" w:hAnsi="Cambria Math"/>
                        <w:i/>
                      </w:rPr>
                    </m:ctrlPr>
                  </m:accPr>
                  <m:e>
                    <m:r>
                      <w:rPr>
                        <w:rFonts w:ascii="Cambria Math" w:hAnsi="Cambria Math"/>
                      </w:rPr>
                      <m:t>Y</m:t>
                    </m:r>
                  </m:e>
                </m:acc>
              </m:e>
            </m:acc>
          </m:e>
          <m:sub>
            <m:r>
              <w:rPr>
                <w:rFonts w:ascii="Cambria Math" w:hAnsi="Cambria Math"/>
              </w:rPr>
              <m:t>E</m:t>
            </m:r>
          </m:sub>
        </m:sSub>
      </m:oMath>
      <w:r>
        <w:t xml:space="preserve"> computed as </w:t>
      </w:r>
      <m:oMath>
        <m:r>
          <w:rPr>
            <w:rFonts w:ascii="Cambria Math" w:hAnsi="Cambria Math"/>
          </w:rPr>
          <m:t>MSE</m:t>
        </m:r>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E</m:t>
                </m:r>
              </m:sub>
            </m:sSub>
          </m:e>
        </m:d>
        <m:r>
          <m:rPr>
            <m:sty m:val="p"/>
          </m:rPr>
          <w:rPr>
            <w:rFonts w:ascii="Cambria Math" w:hAnsi="Cambria Math"/>
          </w:rPr>
          <m:t>=</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b</m:t>
                </m:r>
                <m:r>
                  <m:rPr>
                    <m:sty m:val="p"/>
                  </m:rPr>
                  <w:rPr>
                    <w:rFonts w:ascii="Cambria Math" w:hAnsi="Cambria Math"/>
                  </w:rPr>
                  <m:t>=1</m:t>
                </m:r>
              </m:sub>
              <m:sup>
                <m:r>
                  <w:rPr>
                    <w:rFonts w:ascii="Cambria Math" w:hAnsi="Cambria Math"/>
                  </w:rPr>
                  <m:t>B</m:t>
                </m:r>
              </m:sup>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acc>
                          <m:accPr>
                            <m:ctrlPr>
                              <w:rPr>
                                <w:rFonts w:ascii="Cambria Math" w:hAnsi="Cambria Math"/>
                                <w:i/>
                              </w:rPr>
                            </m:ctrlPr>
                          </m:accPr>
                          <m:e>
                            <m:acc>
                              <m:accPr>
                                <m:chr m:val="̅"/>
                                <m:ctrlPr>
                                  <w:rPr>
                                    <w:rFonts w:ascii="Cambria Math" w:hAnsi="Cambria Math"/>
                                    <w:i/>
                                  </w:rPr>
                                </m:ctrlPr>
                              </m:accPr>
                              <m:e>
                                <m:r>
                                  <w:rPr>
                                    <w:rFonts w:ascii="Cambria Math" w:hAnsi="Cambria Math"/>
                                  </w:rPr>
                                  <m:t>Y</m:t>
                                </m:r>
                              </m:e>
                            </m:acc>
                          </m:e>
                        </m:acc>
                      </m:e>
                      <m:sub>
                        <m:r>
                          <w:rPr>
                            <w:rFonts w:ascii="Cambria Math" w:hAnsi="Cambria Math"/>
                          </w:rPr>
                          <m:t>E</m:t>
                        </m:r>
                        <m:r>
                          <m:rPr>
                            <m:sty m:val="p"/>
                          </m:rPr>
                          <w:rPr>
                            <w:rFonts w:ascii="Cambria Math" w:hAnsi="Cambria Math"/>
                          </w:rPr>
                          <m:t>,</m:t>
                        </m:r>
                        <m:r>
                          <w:rPr>
                            <w:rFonts w:ascii="Cambria Math" w:hAnsi="Cambria Math"/>
                          </w:rPr>
                          <m:t>b</m:t>
                        </m:r>
                      </m:sub>
                    </m:sSub>
                    <m:r>
                      <m:rPr>
                        <m:sty m:val="p"/>
                      </m:rPr>
                      <w:rPr>
                        <w:rFonts w:ascii="Cambria Math" w:hAnsi="Cambria Math"/>
                      </w:rPr>
                      <m:t>-</m:t>
                    </m:r>
                    <m:acc>
                      <m:accPr>
                        <m:chr m:val="̅"/>
                        <m:ctrlPr>
                          <w:rPr>
                            <w:rFonts w:ascii="Cambria Math" w:hAnsi="Cambria Math"/>
                            <w:i/>
                          </w:rPr>
                        </m:ctrlPr>
                      </m:accPr>
                      <m:e>
                        <m:r>
                          <w:rPr>
                            <w:rFonts w:ascii="Cambria Math" w:hAnsi="Cambria Math"/>
                          </w:rPr>
                          <m:t>Y</m:t>
                        </m:r>
                      </m:e>
                    </m:acc>
                    <m:r>
                      <m:rPr>
                        <m:sty m:val="p"/>
                      </m:rPr>
                      <w:rPr>
                        <w:rFonts w:ascii="Cambria Math" w:hAnsi="Cambria Math"/>
                      </w:rPr>
                      <m:t>)</m:t>
                    </m:r>
                  </m:e>
                  <m:sup>
                    <m:r>
                      <m:rPr>
                        <m:sty m:val="p"/>
                      </m:rPr>
                      <w:rPr>
                        <w:rFonts w:ascii="Cambria Math" w:hAnsi="Cambria Math"/>
                      </w:rPr>
                      <m:t>2</m:t>
                    </m:r>
                  </m:sup>
                </m:sSup>
              </m:e>
            </m:nary>
          </m:num>
          <m:den>
            <m:r>
              <w:rPr>
                <w:rFonts w:ascii="Cambria Math" w:hAnsi="Cambria Math"/>
              </w:rPr>
              <m:t>B</m:t>
            </m:r>
          </m:den>
        </m:f>
      </m:oMath>
      <w:r>
        <w:rPr>
          <w:rFonts w:eastAsiaTheme="minorEastAsia"/>
        </w:rPr>
        <w:t>.</w:t>
      </w:r>
    </w:p>
    <w:p w14:paraId="43012547" w14:textId="77777777" w:rsidR="00767E3F" w:rsidRDefault="00767E3F" w:rsidP="0078059D">
      <w:pPr>
        <w:pStyle w:val="L1-FlLSp12"/>
      </w:pPr>
    </w:p>
    <w:p w14:paraId="1DFFF96D" w14:textId="7B6A8F4B" w:rsidR="00767E3F" w:rsidRDefault="004C1D2F" w:rsidP="0078059D">
      <w:pPr>
        <w:pStyle w:val="L1-FlLSp12"/>
      </w:pPr>
      <w:r>
        <w:t>Each statistical software package contains unique sets of parameters to control tree fitting. Special effort was made to apply global settings among all packages to minimize subjective differences in bias and variance evaluation.</w:t>
      </w:r>
    </w:p>
    <w:p w14:paraId="00107BE8" w14:textId="2570E812" w:rsidR="004578D9" w:rsidRDefault="004578D9">
      <w:pPr>
        <w:spacing w:after="160" w:line="259" w:lineRule="auto"/>
      </w:pPr>
      <w:r>
        <w:br w:type="page"/>
      </w:r>
    </w:p>
    <w:p w14:paraId="2C8002C2" w14:textId="57890749" w:rsidR="00767E3F" w:rsidRPr="007F20D9" w:rsidRDefault="009A431F" w:rsidP="007F20D9">
      <w:pPr>
        <w:pStyle w:val="Heading4"/>
        <w:rPr>
          <w:i/>
        </w:rPr>
      </w:pPr>
      <w:r>
        <w:t>3.</w:t>
      </w:r>
      <w:r w:rsidR="00260F52">
        <w:t>1</w:t>
      </w:r>
      <w:r>
        <w:t xml:space="preserve"> </w:t>
      </w:r>
      <w:r w:rsidR="007F20D9" w:rsidRPr="007F20D9">
        <w:rPr>
          <w:i/>
        </w:rPr>
        <w:t>ctree</w:t>
      </w:r>
    </w:p>
    <w:p w14:paraId="45F695FB" w14:textId="4A06411B" w:rsidR="00767E3F" w:rsidRDefault="004C1D2F" w:rsidP="0078059D">
      <w:pPr>
        <w:pStyle w:val="L1-FlLSp12"/>
      </w:pPr>
      <w:r>
        <w:t xml:space="preserve">The following parameters were </w:t>
      </w:r>
      <w:r w:rsidR="00D84748">
        <w:t>used</w:t>
      </w:r>
      <w:r>
        <w:t xml:space="preserve"> for all trees:</w:t>
      </w:r>
    </w:p>
    <w:p w14:paraId="52AE5F31" w14:textId="77777777" w:rsidR="0078059D" w:rsidRDefault="0078059D" w:rsidP="0078059D">
      <w:pPr>
        <w:pStyle w:val="L1-FlLSp12"/>
      </w:pPr>
    </w:p>
    <w:p w14:paraId="1FE49F4B" w14:textId="136750F4" w:rsidR="00767E3F" w:rsidRDefault="004C1D2F" w:rsidP="004578D9">
      <w:pPr>
        <w:pStyle w:val="N1-1stBullet"/>
      </w:pPr>
      <w:r>
        <w:rPr>
          <w:i/>
        </w:rPr>
        <w:t>Minbucket</w:t>
      </w:r>
      <w:r>
        <w:t>: the minimum number of observations in a terminal node was set to 40.</w:t>
      </w:r>
    </w:p>
    <w:p w14:paraId="20BFC34F" w14:textId="51CD26B9" w:rsidR="00767E3F" w:rsidRDefault="004C1D2F" w:rsidP="0078059D">
      <w:pPr>
        <w:pStyle w:val="N1-1stBullet"/>
      </w:pPr>
      <w:r>
        <w:rPr>
          <w:i/>
        </w:rPr>
        <w:t>Maxdepth</w:t>
      </w:r>
      <w:r>
        <w:t>: NA</w:t>
      </w:r>
      <w:r w:rsidR="00FD1247">
        <w:t>.</w:t>
      </w:r>
    </w:p>
    <w:p w14:paraId="77B476FA" w14:textId="7D995144" w:rsidR="00767E3F" w:rsidRDefault="004C1D2F" w:rsidP="0078059D">
      <w:pPr>
        <w:pStyle w:val="N1-1stBullet"/>
      </w:pPr>
      <w:r>
        <w:rPr>
          <w:i/>
        </w:rPr>
        <w:t>Prune</w:t>
      </w:r>
      <w:r>
        <w:t xml:space="preserve">: </w:t>
      </w:r>
      <w:r>
        <w:rPr>
          <w:i/>
        </w:rPr>
        <w:t>ctree</w:t>
      </w:r>
      <w:r>
        <w:t xml:space="preserve"> avoids overfitting by using hypothesis tests to determine the splitting nodes stop</w:t>
      </w:r>
      <w:r w:rsidR="00D02877">
        <w:t>ping point</w:t>
      </w:r>
      <w:r>
        <w:t>, thus eliminating the need for pruning.</w:t>
      </w:r>
    </w:p>
    <w:p w14:paraId="61454762" w14:textId="72637F89" w:rsidR="00767E3F" w:rsidRDefault="004C1D2F" w:rsidP="0078059D">
      <w:pPr>
        <w:pStyle w:val="N1-1stBullet"/>
        <w:rPr>
          <w:i/>
        </w:rPr>
      </w:pPr>
      <w:r>
        <w:rPr>
          <w:i/>
        </w:rPr>
        <w:t xml:space="preserve">Weight: </w:t>
      </w:r>
      <w:r>
        <w:t xml:space="preserve">in contrast to the other packages studied in this paper, </w:t>
      </w:r>
      <w:r>
        <w:rPr>
          <w:i/>
        </w:rPr>
        <w:t>ctree</w:t>
      </w:r>
      <w:r>
        <w:t xml:space="preserve"> requires integer-valued weights and treats the weights as observation frequencies as opposed to survey weights. T</w:t>
      </w:r>
      <w:r w:rsidR="00E868B3">
        <w:t>his parameter was</w:t>
      </w:r>
      <w:r>
        <w:t xml:space="preserve"> </w:t>
      </w:r>
      <w:r w:rsidR="00E868B3">
        <w:t>not used for this reason.</w:t>
      </w:r>
    </w:p>
    <w:p w14:paraId="39D07077" w14:textId="5CC93D62" w:rsidR="00767E3F" w:rsidRDefault="004C1D2F" w:rsidP="0078059D">
      <w:pPr>
        <w:pStyle w:val="N1-1stBullet"/>
      </w:pPr>
      <w:r>
        <w:rPr>
          <w:i/>
        </w:rPr>
        <w:t>Bonferroni</w:t>
      </w:r>
      <w:r>
        <w:t xml:space="preserve">: use Bonferroni adjustment to compensate for multiple testing in the global null hypothesis, </w:t>
      </w:r>
      <w:r w:rsidR="00D02877">
        <w:t xml:space="preserve">and therefore </w:t>
      </w:r>
      <w:r>
        <w:t>was set to Yes.</w:t>
      </w:r>
    </w:p>
    <w:p w14:paraId="0C77545C" w14:textId="46535762" w:rsidR="00767E3F" w:rsidRDefault="004C1D2F" w:rsidP="0078059D">
      <w:pPr>
        <w:pStyle w:val="N1-1stBullet"/>
      </w:pPr>
      <w:r>
        <w:rPr>
          <w:i/>
        </w:rPr>
        <w:t>Alpha</w:t>
      </w:r>
      <w:r>
        <w:t>: 0.05</w:t>
      </w:r>
      <w:r w:rsidR="00FD1247">
        <w:t>.</w:t>
      </w:r>
    </w:p>
    <w:p w14:paraId="58EBF9B4" w14:textId="064C22B9" w:rsidR="00767E3F" w:rsidRDefault="004C1D2F" w:rsidP="0078059D">
      <w:pPr>
        <w:pStyle w:val="N1-1stBullet"/>
      </w:pPr>
      <w:r>
        <w:rPr>
          <w:i/>
        </w:rPr>
        <w:t>Mincriterion</w:t>
      </w:r>
      <w:r>
        <w:t>: 0.95</w:t>
      </w:r>
      <w:r w:rsidR="00FD1247">
        <w:t>.</w:t>
      </w:r>
    </w:p>
    <w:p w14:paraId="6FD755A4" w14:textId="77777777" w:rsidR="00767E3F" w:rsidRDefault="00767E3F" w:rsidP="0078059D">
      <w:pPr>
        <w:pStyle w:val="L1-FlLSp12"/>
      </w:pPr>
    </w:p>
    <w:p w14:paraId="32FD59F5" w14:textId="7DCF997B" w:rsidR="00767E3F" w:rsidRDefault="004C1D2F" w:rsidP="0078059D">
      <w:pPr>
        <w:pStyle w:val="L1-FlLSp12"/>
      </w:pPr>
      <w:r>
        <w:t>All other parameters were set to their default values.</w:t>
      </w:r>
    </w:p>
    <w:p w14:paraId="72EF6700" w14:textId="77777777" w:rsidR="00EB2604" w:rsidRDefault="00EB2604" w:rsidP="0078059D">
      <w:pPr>
        <w:pStyle w:val="L1-FlLSp12"/>
      </w:pPr>
    </w:p>
    <w:p w14:paraId="50CFB0EB" w14:textId="3EE95210" w:rsidR="00767E3F" w:rsidRPr="007F20D9" w:rsidRDefault="009A431F" w:rsidP="007F20D9">
      <w:pPr>
        <w:pStyle w:val="Heading4"/>
        <w:rPr>
          <w:i/>
        </w:rPr>
      </w:pPr>
      <w:r>
        <w:t>3.</w:t>
      </w:r>
      <w:r w:rsidR="00260F52">
        <w:t>2</w:t>
      </w:r>
      <w:r>
        <w:t xml:space="preserve"> </w:t>
      </w:r>
      <w:r w:rsidR="004C1D2F" w:rsidRPr="007F20D9">
        <w:rPr>
          <w:i/>
        </w:rPr>
        <w:t>REEM</w:t>
      </w:r>
    </w:p>
    <w:p w14:paraId="4AC304CE" w14:textId="6CD149C1" w:rsidR="00767E3F" w:rsidRDefault="004C1D2F" w:rsidP="0078059D">
      <w:pPr>
        <w:pStyle w:val="L1-FlLSp12"/>
      </w:pPr>
      <w:r>
        <w:t xml:space="preserve">The following parameters were </w:t>
      </w:r>
      <w:r w:rsidR="00D84748">
        <w:t>used</w:t>
      </w:r>
      <w:r>
        <w:t xml:space="preserve"> for all trees:</w:t>
      </w:r>
    </w:p>
    <w:p w14:paraId="3004B189" w14:textId="77777777" w:rsidR="0078059D" w:rsidRDefault="0078059D" w:rsidP="0078059D">
      <w:pPr>
        <w:pStyle w:val="L1-FlLSp12"/>
      </w:pPr>
    </w:p>
    <w:p w14:paraId="68490729" w14:textId="20400696" w:rsidR="009F3228" w:rsidRPr="009F3228" w:rsidRDefault="009F3228" w:rsidP="0078059D">
      <w:pPr>
        <w:pStyle w:val="N1-1stBullet"/>
      </w:pPr>
      <w:r w:rsidRPr="009F3228">
        <w:rPr>
          <w:i/>
        </w:rPr>
        <w:t>tree.control</w:t>
      </w:r>
      <w:r>
        <w:t>: rpart.control</w:t>
      </w:r>
      <w:r w:rsidR="00FD1247">
        <w:t>.</w:t>
      </w:r>
    </w:p>
    <w:p w14:paraId="369C4015" w14:textId="21197277" w:rsidR="00767E3F" w:rsidRDefault="004C1D2F" w:rsidP="0078059D">
      <w:pPr>
        <w:pStyle w:val="N1-1stBullet"/>
      </w:pPr>
      <w:r>
        <w:rPr>
          <w:i/>
        </w:rPr>
        <w:t>Minbucket</w:t>
      </w:r>
      <w:r>
        <w:t>: the minimum number of observations in a terminal node was set to 40.</w:t>
      </w:r>
    </w:p>
    <w:p w14:paraId="4ABF7B63" w14:textId="77777777" w:rsidR="00767E3F" w:rsidRDefault="004C1D2F" w:rsidP="0078059D">
      <w:pPr>
        <w:pStyle w:val="N1-1stBullet"/>
      </w:pPr>
      <w:r>
        <w:rPr>
          <w:i/>
        </w:rPr>
        <w:t>Cp</w:t>
      </w:r>
      <w:r>
        <w:t>: 0.01.</w:t>
      </w:r>
    </w:p>
    <w:p w14:paraId="2EED677F" w14:textId="5B8E334F" w:rsidR="00767E3F" w:rsidRDefault="004C1D2F" w:rsidP="00E77B47">
      <w:pPr>
        <w:pStyle w:val="N1-1stBullet"/>
      </w:pPr>
      <w:r>
        <w:rPr>
          <w:i/>
        </w:rPr>
        <w:t>Random</w:t>
      </w:r>
      <w:r>
        <w:t>: region</w:t>
      </w:r>
      <w:r w:rsidR="009F3228">
        <w:t xml:space="preserve"> was treated as the random effect in the mixed model.</w:t>
      </w:r>
    </w:p>
    <w:p w14:paraId="64A84781" w14:textId="77777777" w:rsidR="00767E3F" w:rsidRDefault="00767E3F" w:rsidP="0078059D">
      <w:pPr>
        <w:pStyle w:val="L1-FlLSp12"/>
      </w:pPr>
    </w:p>
    <w:p w14:paraId="26CC0DEF" w14:textId="5349688E" w:rsidR="00767E3F" w:rsidRDefault="004C1D2F" w:rsidP="0078059D">
      <w:pPr>
        <w:pStyle w:val="L1-FlLSp12"/>
      </w:pPr>
      <w:r>
        <w:t>All other parameters were set to their default values.</w:t>
      </w:r>
    </w:p>
    <w:p w14:paraId="7D3F5D24" w14:textId="77777777" w:rsidR="00767E3F" w:rsidRDefault="00767E3F" w:rsidP="0078059D">
      <w:pPr>
        <w:pStyle w:val="L1-FlLSp12"/>
      </w:pPr>
    </w:p>
    <w:p w14:paraId="02E52DAF" w14:textId="17FE01C9" w:rsidR="00767E3F" w:rsidRDefault="009A431F" w:rsidP="007F20D9">
      <w:pPr>
        <w:pStyle w:val="Heading4"/>
        <w:rPr>
          <w:i/>
        </w:rPr>
      </w:pPr>
      <w:r>
        <w:t>3.</w:t>
      </w:r>
      <w:r w:rsidR="00260F52">
        <w:t>3</w:t>
      </w:r>
      <w:r>
        <w:t xml:space="preserve"> </w:t>
      </w:r>
      <w:r w:rsidR="004C1D2F" w:rsidRPr="007F20D9">
        <w:rPr>
          <w:i/>
        </w:rPr>
        <w:t>rpms</w:t>
      </w:r>
    </w:p>
    <w:p w14:paraId="0AFFA0AD" w14:textId="4CF66C60" w:rsidR="00D84748" w:rsidRDefault="00D84748" w:rsidP="00D84748">
      <w:pPr>
        <w:pStyle w:val="L1-FlLSp12"/>
      </w:pPr>
      <w:r>
        <w:t>The following parameters were used for all trees:</w:t>
      </w:r>
    </w:p>
    <w:p w14:paraId="0369C037" w14:textId="77777777" w:rsidR="00D84748" w:rsidRPr="00D84748" w:rsidRDefault="00D84748" w:rsidP="00D84748">
      <w:pPr>
        <w:pStyle w:val="L1-FlLSp12"/>
      </w:pPr>
    </w:p>
    <w:p w14:paraId="2D1652F0" w14:textId="423CF50A" w:rsidR="00767E3F" w:rsidRDefault="004C1D2F" w:rsidP="00FA0A8F">
      <w:pPr>
        <w:pStyle w:val="N1-1stBullet"/>
      </w:pPr>
      <w:r>
        <w:rPr>
          <w:i/>
        </w:rPr>
        <w:t>Bin_size</w:t>
      </w:r>
      <w:r>
        <w:t>: the minimum number of observations in a terminal node was set to 40.</w:t>
      </w:r>
    </w:p>
    <w:p w14:paraId="4C789C27" w14:textId="19006380" w:rsidR="00767E3F" w:rsidRDefault="004C1D2F" w:rsidP="00E77B47">
      <w:pPr>
        <w:pStyle w:val="N1-1stBullet"/>
      </w:pPr>
      <w:r>
        <w:rPr>
          <w:i/>
        </w:rPr>
        <w:t>Prune</w:t>
      </w:r>
      <w:r>
        <w:t xml:space="preserve">: similar to the conditional inference tree, </w:t>
      </w:r>
      <w:r w:rsidR="002750B2">
        <w:t xml:space="preserve">the </w:t>
      </w:r>
      <w:r w:rsidR="002750B2" w:rsidRPr="002750B2">
        <w:rPr>
          <w:i/>
        </w:rPr>
        <w:t>rpms</w:t>
      </w:r>
      <w:r w:rsidR="002750B2">
        <w:t xml:space="preserve"> algorithm </w:t>
      </w:r>
      <w:r>
        <w:t>eliminates the step of pruning.</w:t>
      </w:r>
    </w:p>
    <w:p w14:paraId="4A0B6247" w14:textId="4B6A075E" w:rsidR="00767E3F" w:rsidRDefault="004C1D2F" w:rsidP="00FA0A8F">
      <w:pPr>
        <w:pStyle w:val="N1-1stBullet"/>
      </w:pPr>
      <w:r>
        <w:rPr>
          <w:i/>
        </w:rPr>
        <w:t>Strata</w:t>
      </w:r>
      <w:r>
        <w:t xml:space="preserve">: </w:t>
      </w:r>
      <w:r w:rsidR="00992412">
        <w:t xml:space="preserve">Census </w:t>
      </w:r>
      <w:r>
        <w:t>region was specified as the sampling strata.</w:t>
      </w:r>
    </w:p>
    <w:p w14:paraId="13717B01" w14:textId="3D9EB091" w:rsidR="00D755E2" w:rsidRDefault="00D755E2" w:rsidP="00FA0A8F">
      <w:pPr>
        <w:pStyle w:val="N1-1stBullet"/>
      </w:pPr>
      <w:r>
        <w:rPr>
          <w:i/>
        </w:rPr>
        <w:t>Cluster</w:t>
      </w:r>
      <w:r w:rsidRPr="00D755E2">
        <w:t>:</w:t>
      </w:r>
      <w:r>
        <w:t xml:space="preserve"> PSU was specified as the sampling clusters.</w:t>
      </w:r>
    </w:p>
    <w:p w14:paraId="31C61D07" w14:textId="77777777" w:rsidR="00767E3F" w:rsidRDefault="004C1D2F" w:rsidP="00FA0A8F">
      <w:pPr>
        <w:pStyle w:val="N1-1stBullet"/>
      </w:pPr>
      <w:r>
        <w:rPr>
          <w:i/>
        </w:rPr>
        <w:t>P-val:</w:t>
      </w:r>
      <w:r>
        <w:t xml:space="preserve"> 0.05.</w:t>
      </w:r>
    </w:p>
    <w:p w14:paraId="18546A37" w14:textId="77777777" w:rsidR="00767E3F" w:rsidRDefault="00767E3F" w:rsidP="00FA0A8F">
      <w:pPr>
        <w:pStyle w:val="L1-FlLSp12"/>
      </w:pPr>
    </w:p>
    <w:p w14:paraId="797B7D32" w14:textId="50EA4E4C" w:rsidR="00767E3F" w:rsidRDefault="004C1D2F" w:rsidP="00FA0A8F">
      <w:pPr>
        <w:pStyle w:val="L1-FlLSp12"/>
      </w:pPr>
      <w:r>
        <w:t>The following factors were varied:</w:t>
      </w:r>
    </w:p>
    <w:p w14:paraId="165BB19C" w14:textId="77777777" w:rsidR="00FA0A8F" w:rsidRDefault="00FA0A8F" w:rsidP="00FA0A8F">
      <w:pPr>
        <w:pStyle w:val="L1-FlLSp12"/>
      </w:pPr>
    </w:p>
    <w:p w14:paraId="117ED05E" w14:textId="77777777" w:rsidR="00767E3F" w:rsidRDefault="004C1D2F" w:rsidP="00FA0A8F">
      <w:pPr>
        <w:pStyle w:val="N1-1stBullet"/>
        <w:rPr>
          <w:i/>
        </w:rPr>
      </w:pPr>
      <w:r>
        <w:rPr>
          <w:i/>
        </w:rPr>
        <w:t xml:space="preserve">Weight: </w:t>
      </w:r>
      <w:r>
        <w:t>weight = 1 for all observations or weight = design weight.</w:t>
      </w:r>
    </w:p>
    <w:p w14:paraId="490C5A86" w14:textId="77777777" w:rsidR="00767E3F" w:rsidRDefault="00767E3F" w:rsidP="00FA0A8F">
      <w:pPr>
        <w:pStyle w:val="L1-FlLSp12"/>
      </w:pPr>
    </w:p>
    <w:p w14:paraId="79F99F3E" w14:textId="3EF5D348" w:rsidR="00767E3F" w:rsidRDefault="004C1D2F" w:rsidP="00FA0A8F">
      <w:pPr>
        <w:pStyle w:val="L1-FlLSp12"/>
      </w:pPr>
      <w:r>
        <w:t>All other parameters were set to their default values.</w:t>
      </w:r>
    </w:p>
    <w:p w14:paraId="59EF6C3D" w14:textId="77777777" w:rsidR="004B0B57" w:rsidRDefault="004B0B57" w:rsidP="00FA0A8F">
      <w:pPr>
        <w:pStyle w:val="L1-FlLSp12"/>
      </w:pPr>
    </w:p>
    <w:p w14:paraId="6BD6C54C" w14:textId="06974AEC" w:rsidR="00260F52" w:rsidRDefault="00260F52" w:rsidP="00260F52">
      <w:pPr>
        <w:pStyle w:val="Heading4"/>
      </w:pPr>
      <w:r>
        <w:t>3.4 SAS HPSPLIT Algorithms</w:t>
      </w:r>
    </w:p>
    <w:p w14:paraId="295BF14B" w14:textId="77777777" w:rsidR="00260F52" w:rsidRDefault="00260F52" w:rsidP="00260F52">
      <w:pPr>
        <w:pStyle w:val="L1-FlLSp12"/>
      </w:pPr>
      <w:r>
        <w:t>The following parameters were set equal for all trees:</w:t>
      </w:r>
    </w:p>
    <w:p w14:paraId="47448750" w14:textId="77777777" w:rsidR="00260F52" w:rsidRDefault="00260F52" w:rsidP="00260F52">
      <w:pPr>
        <w:pStyle w:val="L1-FlLSp12"/>
      </w:pPr>
    </w:p>
    <w:p w14:paraId="2B07E354" w14:textId="77B74A51" w:rsidR="00260F52" w:rsidRDefault="00260F52" w:rsidP="00260F52">
      <w:pPr>
        <w:pStyle w:val="N1-1stBullet"/>
      </w:pPr>
      <w:r>
        <w:rPr>
          <w:i/>
        </w:rPr>
        <w:t>Minleafsize</w:t>
      </w:r>
      <w:r>
        <w:t xml:space="preserve">: </w:t>
      </w:r>
      <w:r>
        <w:rPr>
          <w:rStyle w:val="BodyCopyChar"/>
        </w:rPr>
        <w:t>the minimum number of observations in a terminal node was set to 40.</w:t>
      </w:r>
    </w:p>
    <w:p w14:paraId="68A8CA21" w14:textId="77777777" w:rsidR="00260F52" w:rsidRDefault="00260F52" w:rsidP="00260F52">
      <w:pPr>
        <w:pStyle w:val="N1-1stBullet"/>
      </w:pPr>
      <w:r>
        <w:rPr>
          <w:i/>
        </w:rPr>
        <w:t>Maxdepth</w:t>
      </w:r>
      <w:r>
        <w:t>: the maximum level a tree could be grown was set to 5.</w:t>
      </w:r>
    </w:p>
    <w:p w14:paraId="2E5F522B" w14:textId="05D9F8A1" w:rsidR="00260F52" w:rsidRDefault="00260F52" w:rsidP="00260F52">
      <w:pPr>
        <w:pStyle w:val="N1-1stBullet"/>
      </w:pPr>
      <w:r>
        <w:rPr>
          <w:i/>
        </w:rPr>
        <w:t xml:space="preserve">Prune: </w:t>
      </w:r>
      <w:r>
        <w:t>to avoid overfitting, one procedure is to grow the tree out as far as possible and then prune back to a smaller subtree (</w:t>
      </w:r>
      <w:r w:rsidRPr="00D869CC">
        <w:t>Breiman</w:t>
      </w:r>
      <w:r w:rsidR="003709C1" w:rsidRPr="00D869CC">
        <w:t xml:space="preserve">, Friedman, Olshen, and Stone </w:t>
      </w:r>
      <w:r w:rsidRPr="00D869CC">
        <w:t>1984</w:t>
      </w:r>
      <w:r>
        <w:t>). The pruning method specified for this package was reduced-error pruning (Quinlan 1986).</w:t>
      </w:r>
    </w:p>
    <w:p w14:paraId="19E010F8" w14:textId="77777777" w:rsidR="00260F52" w:rsidRDefault="00260F52" w:rsidP="00260F52">
      <w:pPr>
        <w:pStyle w:val="L1-FlLSp12"/>
      </w:pPr>
    </w:p>
    <w:p w14:paraId="43F7A94C" w14:textId="77777777" w:rsidR="00260F52" w:rsidRDefault="00260F52" w:rsidP="00260F52">
      <w:pPr>
        <w:pStyle w:val="L1-FlLSp12"/>
      </w:pPr>
      <w:r>
        <w:t>The following factors were varied:</w:t>
      </w:r>
    </w:p>
    <w:p w14:paraId="0F26B316" w14:textId="77777777" w:rsidR="00260F52" w:rsidRDefault="00260F52" w:rsidP="00260F52">
      <w:pPr>
        <w:pStyle w:val="L1-FlLSp12"/>
      </w:pPr>
    </w:p>
    <w:p w14:paraId="5AB10ABD" w14:textId="77777777" w:rsidR="00260F52" w:rsidRDefault="00260F52" w:rsidP="00260F52">
      <w:pPr>
        <w:pStyle w:val="N1-1stBullet"/>
        <w:rPr>
          <w:i/>
        </w:rPr>
      </w:pPr>
      <w:r>
        <w:rPr>
          <w:i/>
        </w:rPr>
        <w:t xml:space="preserve">Weight: </w:t>
      </w:r>
      <w:r>
        <w:t>weight = 1 for all observations or weight = design weight.</w:t>
      </w:r>
    </w:p>
    <w:p w14:paraId="54F5D3E5" w14:textId="6ABB6398" w:rsidR="00260F52" w:rsidRDefault="00260F52" w:rsidP="00260F52">
      <w:pPr>
        <w:pStyle w:val="N1-1stBullet"/>
        <w:rPr>
          <w:i/>
        </w:rPr>
      </w:pPr>
      <w:r>
        <w:rPr>
          <w:i/>
        </w:rPr>
        <w:t xml:space="preserve">Criterion: </w:t>
      </w:r>
      <w:r w:rsidR="00B96A1E">
        <w:rPr>
          <w:rFonts w:eastAsiaTheme="minorEastAsia"/>
          <w:lang w:eastAsia="zh-TW"/>
        </w:rPr>
        <w:t>CHAID or e</w:t>
      </w:r>
      <w:r>
        <w:rPr>
          <w:rFonts w:eastAsiaTheme="minorEastAsia"/>
          <w:lang w:eastAsia="zh-TW"/>
        </w:rPr>
        <w:t>ntropy.</w:t>
      </w:r>
    </w:p>
    <w:p w14:paraId="75CECCDB" w14:textId="77777777" w:rsidR="00260F52" w:rsidRDefault="00260F52" w:rsidP="00260F52">
      <w:pPr>
        <w:pStyle w:val="L1-FlLSp12"/>
      </w:pPr>
    </w:p>
    <w:p w14:paraId="1995F781" w14:textId="1623F974" w:rsidR="00260F52" w:rsidRDefault="00260F52" w:rsidP="00260F52">
      <w:pPr>
        <w:pStyle w:val="L1-FlLSp12"/>
      </w:pPr>
      <w:r>
        <w:t>All other parameters were set to their default values.</w:t>
      </w:r>
    </w:p>
    <w:p w14:paraId="785F022F" w14:textId="193E8E12" w:rsidR="00767E3F" w:rsidRDefault="00767E3F" w:rsidP="00FA0A8F">
      <w:pPr>
        <w:pStyle w:val="L1-FlLSp12"/>
      </w:pPr>
    </w:p>
    <w:p w14:paraId="6FE3BE3B" w14:textId="3F68327A" w:rsidR="00767E3F" w:rsidRPr="00600ACE" w:rsidRDefault="004C1D2F" w:rsidP="00FA0A8F">
      <w:pPr>
        <w:pStyle w:val="C1-CtrBoldHd"/>
      </w:pPr>
      <w:r>
        <w:t>4. Result</w:t>
      </w:r>
      <w:r w:rsidRPr="00600ACE">
        <w:t>s</w:t>
      </w:r>
    </w:p>
    <w:p w14:paraId="6677477A" w14:textId="1952B684" w:rsidR="00A571F5" w:rsidRDefault="009334E9" w:rsidP="00FA0A8F">
      <w:pPr>
        <w:pStyle w:val="L1-FlLSp12"/>
      </w:pPr>
      <w:r>
        <w:t xml:space="preserve">Our discussion of results </w:t>
      </w:r>
      <w:r w:rsidR="00F221FA">
        <w:t>relies</w:t>
      </w:r>
      <w:r>
        <w:t xml:space="preserve"> on </w:t>
      </w:r>
      <w:r w:rsidR="00F221FA">
        <w:t>v</w:t>
      </w:r>
      <w:r>
        <w:t xml:space="preserve">isual comparisons of bias </w:t>
      </w:r>
      <w:r w:rsidR="0083164B">
        <w:t xml:space="preserve">and RMSE </w:t>
      </w:r>
      <w:r>
        <w:t>between the tree</w:t>
      </w:r>
      <w:r w:rsidR="007F2841">
        <w:t>-</w:t>
      </w:r>
      <w:r>
        <w:t>building algorithms</w:t>
      </w:r>
      <w:r w:rsidR="00F221FA">
        <w:t xml:space="preserve"> </w:t>
      </w:r>
      <w:r w:rsidR="002C32F7">
        <w:t>for various simulation settings. The comparisons of relative bias are found in Figures 1 to 4</w:t>
      </w:r>
      <w:r>
        <w:t xml:space="preserve">. Each figure </w:t>
      </w:r>
      <w:r w:rsidR="00C90935">
        <w:t xml:space="preserve">is a trellis plot </w:t>
      </w:r>
      <w:r>
        <w:t>contain</w:t>
      </w:r>
      <w:r w:rsidR="00C90935">
        <w:t>ing</w:t>
      </w:r>
      <w:r>
        <w:t xml:space="preserve"> a</w:t>
      </w:r>
      <w:r w:rsidR="00F221FA">
        <w:t xml:space="preserve"> 3 x 3</w:t>
      </w:r>
      <w:r>
        <w:t xml:space="preserve"> </w:t>
      </w:r>
      <w:r w:rsidR="0030269A">
        <w:t xml:space="preserve">grid </w:t>
      </w:r>
      <w:r>
        <w:t>of bar charts</w:t>
      </w:r>
      <w:r w:rsidR="0030269A">
        <w:t xml:space="preserve"> with the rows showing the three outcomes that reflect differing levels of correlation (from top to bottom: health insurance [low], bachelor</w:t>
      </w:r>
      <w:r w:rsidR="00600ACE">
        <w:t>’</w:t>
      </w:r>
      <w:r w:rsidR="0030269A">
        <w:t>s degree [medium], and a synthetic outcome [high]) with the auxiliary variable (i.e., household income)</w:t>
      </w:r>
      <w:r w:rsidR="00934DCD">
        <w:t>,</w:t>
      </w:r>
      <w:r w:rsidR="0030269A">
        <w:t xml:space="preserve"> and the columns showing the three levels of correlation between the auxiliary variable and response propensity</w:t>
      </w:r>
      <w:r w:rsidR="00A571F5">
        <w:t xml:space="preserve">. Each </w:t>
      </w:r>
      <w:r w:rsidR="0030269A">
        <w:t>panel</w:t>
      </w:r>
      <w:r w:rsidR="00A571F5">
        <w:t xml:space="preserve"> shows the unadjusted relative bias along with </w:t>
      </w:r>
      <w:r w:rsidR="00F50917">
        <w:t xml:space="preserve">relative </w:t>
      </w:r>
      <w:r w:rsidR="00A571F5">
        <w:t>bias after adjusting for nonresponse using the different tree</w:t>
      </w:r>
      <w:r w:rsidR="007F2841">
        <w:t>-</w:t>
      </w:r>
      <w:r w:rsidR="00A571F5">
        <w:t>building algorithms</w:t>
      </w:r>
      <w:r w:rsidR="0083164B">
        <w:t xml:space="preserve"> we considered</w:t>
      </w:r>
      <w:r w:rsidR="00A571F5">
        <w:t xml:space="preserve">. </w:t>
      </w:r>
      <w:r w:rsidR="0083164B">
        <w:t>Results generated when not applying</w:t>
      </w:r>
      <w:r w:rsidR="00C41782">
        <w:t xml:space="preserve"> base</w:t>
      </w:r>
      <w:r w:rsidR="00631021">
        <w:t xml:space="preserve"> </w:t>
      </w:r>
      <w:r w:rsidR="00C41782">
        <w:t>weights</w:t>
      </w:r>
      <w:r w:rsidR="0083164B">
        <w:t xml:space="preserve"> to the algorithms </w:t>
      </w:r>
      <w:r w:rsidR="00934DCD">
        <w:t>and</w:t>
      </w:r>
      <w:r w:rsidR="00C41782">
        <w:t xml:space="preserve"> </w:t>
      </w:r>
      <w:r w:rsidR="0083164B">
        <w:t xml:space="preserve">applying </w:t>
      </w:r>
      <w:r w:rsidR="00C41782">
        <w:t>base</w:t>
      </w:r>
      <w:r w:rsidR="00631021">
        <w:t xml:space="preserve"> </w:t>
      </w:r>
      <w:r w:rsidR="0083164B">
        <w:t xml:space="preserve">weights </w:t>
      </w:r>
      <w:r w:rsidR="00A571F5">
        <w:t xml:space="preserve">are found within each </w:t>
      </w:r>
      <w:r w:rsidR="0030269A">
        <w:t>panel</w:t>
      </w:r>
      <w:r w:rsidR="00A571F5">
        <w:t>.</w:t>
      </w:r>
      <w:r w:rsidR="00F50917">
        <w:t xml:space="preserve"> </w:t>
      </w:r>
    </w:p>
    <w:p w14:paraId="22E5945D" w14:textId="77777777" w:rsidR="00AD18DA" w:rsidRDefault="00AD18DA" w:rsidP="00FA0A8F">
      <w:pPr>
        <w:pStyle w:val="L1-FlLSp12"/>
      </w:pPr>
    </w:p>
    <w:p w14:paraId="50EC152A" w14:textId="658583DA" w:rsidR="00531668" w:rsidRPr="00D869CC" w:rsidRDefault="007A103E" w:rsidP="00ED6DF5">
      <w:pPr>
        <w:pStyle w:val="L1-FlLSp12"/>
      </w:pPr>
      <w:r>
        <w:t xml:space="preserve">Figure </w:t>
      </w:r>
      <w:r w:rsidR="0091413F">
        <w:t>1</w:t>
      </w:r>
      <w:r>
        <w:t xml:space="preserve"> </w:t>
      </w:r>
      <w:r w:rsidR="004C1D2F">
        <w:t>shows the simulation results</w:t>
      </w:r>
      <w:r w:rsidR="005C2619">
        <w:t xml:space="preserve"> of the </w:t>
      </w:r>
      <w:r w:rsidR="00184E5F" w:rsidRPr="003B17C1">
        <w:rPr>
          <w:i/>
          <w:iCs/>
        </w:rPr>
        <w:t>high</w:t>
      </w:r>
      <w:r w:rsidR="00C47D09">
        <w:t>-</w:t>
      </w:r>
      <w:r w:rsidR="005C2619">
        <w:t>response setting</w:t>
      </w:r>
      <w:r w:rsidR="004C1D2F">
        <w:t xml:space="preserve"> </w:t>
      </w:r>
      <w:r w:rsidR="004448E3" w:rsidRPr="00DB55C9">
        <w:t>under a</w:t>
      </w:r>
      <w:r w:rsidR="00934DCD">
        <w:t>n</w:t>
      </w:r>
      <w:r w:rsidR="004448E3" w:rsidRPr="00DB55C9">
        <w:t xml:space="preserve"> </w:t>
      </w:r>
      <w:r w:rsidR="00EA686B" w:rsidRPr="00DB55C9">
        <w:t>SRS or uninform</w:t>
      </w:r>
      <w:r w:rsidR="00043B2B">
        <w:t>ative</w:t>
      </w:r>
      <w:r w:rsidR="004448E3" w:rsidRPr="00DB55C9">
        <w:t xml:space="preserve"> design</w:t>
      </w:r>
      <w:r w:rsidR="00A571F5">
        <w:t xml:space="preserve">. The top row of </w:t>
      </w:r>
      <w:r w:rsidR="00FD68B3">
        <w:t xml:space="preserve">panels (health insurance [low]) reflecting the scenario of low correlation between the auxiliary and outcome </w:t>
      </w:r>
      <w:r w:rsidR="0011557C">
        <w:t>indicate</w:t>
      </w:r>
      <w:r w:rsidR="005266D0">
        <w:t>s</w:t>
      </w:r>
      <w:r w:rsidR="0011557C">
        <w:t xml:space="preserve"> </w:t>
      </w:r>
      <w:r w:rsidR="005266D0">
        <w:t>minimal unadjusted nonresponse bias</w:t>
      </w:r>
      <w:r w:rsidR="00934DCD">
        <w:t>,</w:t>
      </w:r>
      <w:r w:rsidR="009B62F9">
        <w:t xml:space="preserve"> </w:t>
      </w:r>
      <w:r w:rsidR="00934DCD">
        <w:t xml:space="preserve">showing </w:t>
      </w:r>
      <w:r w:rsidR="009B62F9">
        <w:t xml:space="preserve">that all the algorithms under consideration performed well under the applied conditions. The same is true for the </w:t>
      </w:r>
      <w:r w:rsidR="00FD68B3">
        <w:t>panels</w:t>
      </w:r>
      <w:r w:rsidR="009B62F9">
        <w:t xml:space="preserve"> in the middle row of the </w:t>
      </w:r>
      <w:r w:rsidR="00FD68B3">
        <w:t>grid</w:t>
      </w:r>
      <w:r w:rsidR="000E021A">
        <w:t xml:space="preserve">, indicating that </w:t>
      </w:r>
      <w:r w:rsidR="009B62F9">
        <w:t xml:space="preserve">when the response rate is high, changing only the correlation between the auxiliary variable and the outcome variable </w:t>
      </w:r>
      <w:r w:rsidR="0083164B">
        <w:t xml:space="preserve">from low </w:t>
      </w:r>
      <w:r w:rsidR="009B62F9">
        <w:t xml:space="preserve">to a medium level did not affect the performance of the algorithms. </w:t>
      </w:r>
      <w:r w:rsidR="0022637F">
        <w:t xml:space="preserve">These bar charts show that in the presence of a high response rate, </w:t>
      </w:r>
      <w:r w:rsidR="0022637F" w:rsidRPr="00ED6DF5">
        <w:t xml:space="preserve">when the relative bias is minimal the algorithms perform well independent of </w:t>
      </w:r>
      <w:r w:rsidR="00934DCD" w:rsidRPr="00ED6DF5">
        <w:t>whether</w:t>
      </w:r>
      <w:r w:rsidR="0022637F" w:rsidRPr="00ED6DF5">
        <w:t xml:space="preserve"> weights are used when forming nonresponse adjustment cells. This is not an</w:t>
      </w:r>
      <w:r w:rsidR="0022637F">
        <w:t xml:space="preserve"> unexpected </w:t>
      </w:r>
      <w:r w:rsidR="0022637F" w:rsidRPr="00531668">
        <w:t xml:space="preserve">result. </w:t>
      </w:r>
      <w:r w:rsidR="006F557E" w:rsidRPr="00531668">
        <w:t xml:space="preserve">However, the algorithms do not perform consistently as we move down and to the right of the grid. </w:t>
      </w:r>
      <w:r w:rsidR="003D5D3B" w:rsidRPr="00531668">
        <w:t>T</w:t>
      </w:r>
      <w:r w:rsidR="00EA5DC7" w:rsidRPr="00531668">
        <w:t xml:space="preserve">hat is, </w:t>
      </w:r>
      <w:r w:rsidR="003D5D3B" w:rsidRPr="00531668">
        <w:t xml:space="preserve">under SRS and in the presence of </w:t>
      </w:r>
      <w:r w:rsidR="00C91F46" w:rsidRPr="00531668">
        <w:t xml:space="preserve">high </w:t>
      </w:r>
      <w:r w:rsidR="003D5D3B" w:rsidRPr="00531668">
        <w:t xml:space="preserve">response, </w:t>
      </w:r>
      <w:r w:rsidR="00607336" w:rsidRPr="00531668">
        <w:t xml:space="preserve">as the correlation between the auxiliary variable and outcome variable </w:t>
      </w:r>
      <w:r w:rsidR="00EA5DC7" w:rsidRPr="00531668">
        <w:t xml:space="preserve">increases and the correlation between the auxiliary variable and response propensity </w:t>
      </w:r>
      <w:r w:rsidR="003D5D3B" w:rsidRPr="00531668">
        <w:t xml:space="preserve">also </w:t>
      </w:r>
      <w:r w:rsidR="00EA5DC7" w:rsidRPr="00531668">
        <w:t>increases</w:t>
      </w:r>
      <w:r w:rsidR="00934DCD">
        <w:t>,</w:t>
      </w:r>
      <w:r w:rsidR="003D5D3B" w:rsidRPr="00531668">
        <w:t xml:space="preserve"> it becomes clear that algorithm performance can be ranked</w:t>
      </w:r>
      <w:r w:rsidR="00EA5DC7" w:rsidRPr="00531668">
        <w:t xml:space="preserve">. </w:t>
      </w:r>
      <w:r w:rsidR="00531668" w:rsidRPr="00531668">
        <w:t>For example, consider the bottom row of panels (synthetic outcome [high]): in the bottom right panel</w:t>
      </w:r>
      <w:r w:rsidR="00934DCD">
        <w:t>,</w:t>
      </w:r>
      <w:r w:rsidR="00531668" w:rsidRPr="00531668">
        <w:t xml:space="preserve"> </w:t>
      </w:r>
      <w:r w:rsidR="00934DCD">
        <w:t>which</w:t>
      </w:r>
      <w:r w:rsidR="00934DCD" w:rsidRPr="00531668">
        <w:t xml:space="preserve"> </w:t>
      </w:r>
      <w:r w:rsidR="00531668" w:rsidRPr="00531668">
        <w:t>represents a high correlation between the auxiliary variable and response propensity,</w:t>
      </w:r>
      <w:r w:rsidR="00531668" w:rsidRPr="00531668" w:rsidDel="0041528C">
        <w:t xml:space="preserve"> </w:t>
      </w:r>
      <w:r w:rsidR="00531668" w:rsidRPr="00531668">
        <w:t xml:space="preserve">while each algorithm reduced bias, the </w:t>
      </w:r>
      <w:r w:rsidR="002B51B0" w:rsidRPr="002B51B0">
        <w:rPr>
          <w:i/>
        </w:rPr>
        <w:t>ctree</w:t>
      </w:r>
      <w:r w:rsidR="00531668" w:rsidRPr="00531668">
        <w:t xml:space="preserve">, REEM and RPMS algorithms appear to have performed better than the CHAID and Entropy algorithms, regardless of whether weights were applied. </w:t>
      </w:r>
      <w:r w:rsidR="00AC698F">
        <w:t xml:space="preserve">Overall, the </w:t>
      </w:r>
      <w:r w:rsidR="002B51B0" w:rsidRPr="002B51B0">
        <w:rPr>
          <w:i/>
        </w:rPr>
        <w:t>ctree</w:t>
      </w:r>
      <w:r w:rsidR="00631021">
        <w:rPr>
          <w:i/>
        </w:rPr>
        <w:t xml:space="preserve"> </w:t>
      </w:r>
      <w:r w:rsidR="00AC698F">
        <w:t xml:space="preserve">algorithm was most successful and consistent in reducing bias associated with nonresponse compared to the other algorithms considered. The </w:t>
      </w:r>
      <w:r w:rsidR="005516D4">
        <w:t>REEM</w:t>
      </w:r>
      <w:r w:rsidR="00AC698F">
        <w:t xml:space="preserve"> algorithm also performed well under the conditions present in Figure 1. The </w:t>
      </w:r>
      <w:r w:rsidR="005516D4">
        <w:t>RPMS</w:t>
      </w:r>
      <w:r w:rsidR="00AC698F">
        <w:t xml:space="preserve"> algorithm also reduced bias, but not at the same levels as </w:t>
      </w:r>
      <w:r w:rsidR="002B51B0" w:rsidRPr="002B51B0">
        <w:rPr>
          <w:i/>
        </w:rPr>
        <w:t>ctree</w:t>
      </w:r>
      <w:r w:rsidR="00631021">
        <w:rPr>
          <w:i/>
        </w:rPr>
        <w:t xml:space="preserve"> </w:t>
      </w:r>
      <w:r w:rsidR="00AC698F">
        <w:t xml:space="preserve">and </w:t>
      </w:r>
      <w:r w:rsidR="005516D4">
        <w:t>REEM</w:t>
      </w:r>
      <w:r w:rsidR="00AC698F">
        <w:t>, regardless of the use of weights.</w:t>
      </w:r>
    </w:p>
    <w:p w14:paraId="008A4305" w14:textId="2D519B68" w:rsidR="00700C01" w:rsidRDefault="00700C01" w:rsidP="0014654E">
      <w:pPr>
        <w:pStyle w:val="L1-FlLSp12"/>
      </w:pPr>
    </w:p>
    <w:p w14:paraId="725EA0CC" w14:textId="77777777" w:rsidR="009334E9" w:rsidRDefault="009334E9" w:rsidP="0014654E">
      <w:pPr>
        <w:pStyle w:val="L1-FlLSp12"/>
        <w:sectPr w:rsidR="009334E9" w:rsidSect="00B6098D">
          <w:pgSz w:w="12240" w:h="15840"/>
          <w:pgMar w:top="1440" w:right="2160" w:bottom="1440" w:left="2160" w:header="706" w:footer="706" w:gutter="0"/>
          <w:cols w:space="720"/>
          <w:docGrid w:linePitch="360"/>
        </w:sectPr>
      </w:pPr>
    </w:p>
    <w:p w14:paraId="4FDE07F8" w14:textId="032B8197" w:rsidR="009334E9" w:rsidRDefault="00372B14" w:rsidP="0014654E">
      <w:pPr>
        <w:pStyle w:val="L1-FlLSp12"/>
      </w:pPr>
      <w:r>
        <w:rPr>
          <w:noProof/>
        </w:rPr>
        <w:drawing>
          <wp:inline distT="0" distB="0" distL="0" distR="0" wp14:anchorId="37171D07" wp14:editId="3314878C">
            <wp:extent cx="8229600" cy="4702810"/>
            <wp:effectExtent l="0" t="0" r="0" b="2540"/>
            <wp:docPr id="886545973" name="Picture 1" descr="A graph of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45973" name="Picture 1" descr="A graph of numbers and letters&#10;&#10;Description automatically generated with medium confidence"/>
                    <pic:cNvPicPr/>
                  </pic:nvPicPr>
                  <pic:blipFill>
                    <a:blip r:embed="rId10"/>
                    <a:stretch>
                      <a:fillRect/>
                    </a:stretch>
                  </pic:blipFill>
                  <pic:spPr>
                    <a:xfrm>
                      <a:off x="0" y="0"/>
                      <a:ext cx="8229600" cy="4702810"/>
                    </a:xfrm>
                    <a:prstGeom prst="rect">
                      <a:avLst/>
                    </a:prstGeom>
                  </pic:spPr>
                </pic:pic>
              </a:graphicData>
            </a:graphic>
          </wp:inline>
        </w:drawing>
      </w:r>
    </w:p>
    <w:p w14:paraId="2EC3A871" w14:textId="08614228" w:rsidR="009334E9" w:rsidRPr="002B5E7B" w:rsidRDefault="009334E9" w:rsidP="002B5E7B">
      <w:pPr>
        <w:pStyle w:val="FT-FigureTItle"/>
        <w:rPr>
          <w:b w:val="0"/>
          <w:bCs/>
        </w:rPr>
      </w:pPr>
      <w:r>
        <w:t>Figure 1</w:t>
      </w:r>
      <w:r w:rsidR="002B5E7B">
        <w:t>:</w:t>
      </w:r>
      <w:r>
        <w:t xml:space="preserve"> </w:t>
      </w:r>
      <w:r w:rsidR="0030269A" w:rsidRPr="002B5E7B">
        <w:rPr>
          <w:b w:val="0"/>
          <w:bCs/>
        </w:rPr>
        <w:t xml:space="preserve">Estimates of RelBias under </w:t>
      </w:r>
      <w:r w:rsidRPr="002B5E7B">
        <w:rPr>
          <w:b w:val="0"/>
          <w:bCs/>
        </w:rPr>
        <w:t xml:space="preserve">Uninformative </w:t>
      </w:r>
      <w:r w:rsidR="0030269A" w:rsidRPr="002B5E7B">
        <w:rPr>
          <w:b w:val="0"/>
          <w:bCs/>
        </w:rPr>
        <w:t>sample design for high response</w:t>
      </w:r>
    </w:p>
    <w:p w14:paraId="38767F20" w14:textId="6C0DABD0" w:rsidR="009334E9" w:rsidRDefault="009334E9" w:rsidP="0014654E">
      <w:pPr>
        <w:pStyle w:val="L1-FlLSp12"/>
      </w:pPr>
    </w:p>
    <w:p w14:paraId="21497606" w14:textId="77777777" w:rsidR="002B5E7B" w:rsidRDefault="002B5E7B" w:rsidP="0014654E">
      <w:pPr>
        <w:pStyle w:val="L1-FlLSp12"/>
        <w:sectPr w:rsidR="002B5E7B" w:rsidSect="009334E9">
          <w:headerReference w:type="default" r:id="rId11"/>
          <w:footerReference w:type="default" r:id="rId12"/>
          <w:pgSz w:w="15840" w:h="12240" w:orient="landscape"/>
          <w:pgMar w:top="2160" w:right="1440" w:bottom="2160" w:left="1440" w:header="720" w:footer="720" w:gutter="0"/>
          <w:cols w:space="720"/>
          <w:docGrid w:linePitch="360"/>
        </w:sectPr>
      </w:pPr>
    </w:p>
    <w:p w14:paraId="3AF76FD7" w14:textId="4535E506" w:rsidR="002B5E7B" w:rsidRDefault="002B5E7B" w:rsidP="002B5E7B">
      <w:pPr>
        <w:pStyle w:val="L1-FlLSp12"/>
      </w:pPr>
      <w:r>
        <w:t xml:space="preserve">Figure 2 shows the simulation results of the </w:t>
      </w:r>
      <w:r w:rsidRPr="003B17C1">
        <w:rPr>
          <w:i/>
          <w:iCs/>
        </w:rPr>
        <w:t>high</w:t>
      </w:r>
      <w:r>
        <w:t xml:space="preserve">-response setting </w:t>
      </w:r>
      <w:r w:rsidRPr="00DB55C9">
        <w:t xml:space="preserve">under </w:t>
      </w:r>
      <w:r>
        <w:t xml:space="preserve">PPS sampling, </w:t>
      </w:r>
      <w:r w:rsidRPr="00DB55C9">
        <w:t xml:space="preserve">or </w:t>
      </w:r>
      <w:r>
        <w:t xml:space="preserve">an </w:t>
      </w:r>
      <w:r w:rsidRPr="00DB55C9">
        <w:t>inform</w:t>
      </w:r>
      <w:r>
        <w:t>ative</w:t>
      </w:r>
      <w:r w:rsidRPr="00DB55C9">
        <w:t xml:space="preserve"> design</w:t>
      </w:r>
      <w:r w:rsidRPr="00761C59">
        <w:t xml:space="preserve">. The top row of </w:t>
      </w:r>
      <w:r>
        <w:t>panels</w:t>
      </w:r>
      <w:r w:rsidRPr="00761C59">
        <w:t xml:space="preserve"> in the Figure 2 </w:t>
      </w:r>
      <w:r>
        <w:t>grid</w:t>
      </w:r>
      <w:r w:rsidRPr="00761C59">
        <w:t xml:space="preserve"> follows the same patterns as that in Figure 1 in that the simulation scenarios led to minimal unadjusted nonresponse bias and all the algorithms under consideration performed similarly well. Continuing with the </w:t>
      </w:r>
      <w:r>
        <w:t xml:space="preserve">panels </w:t>
      </w:r>
      <w:r w:rsidRPr="00761C59">
        <w:t xml:space="preserve">in </w:t>
      </w:r>
      <w:r>
        <w:t xml:space="preserve">the bottom two </w:t>
      </w:r>
      <w:r w:rsidRPr="00761C59">
        <w:t xml:space="preserve">rows of the </w:t>
      </w:r>
      <w:r>
        <w:t>grid</w:t>
      </w:r>
      <w:r w:rsidRPr="00761C59">
        <w:t xml:space="preserve">, the patterns are again the same as those </w:t>
      </w:r>
      <w:r>
        <w:t xml:space="preserve">in the same positions of the Figure 1 grid. In particular, increasing the correlation between the auxiliary variable and outcome variable to a high level produced noticeable differences in algorithm performance, with the </w:t>
      </w:r>
      <w:r w:rsidRPr="002B51B0">
        <w:rPr>
          <w:i/>
        </w:rPr>
        <w:t>ctree</w:t>
      </w:r>
      <w:r>
        <w:t>, REEM</w:t>
      </w:r>
      <w:r w:rsidR="00934DCD">
        <w:t>,</w:t>
      </w:r>
      <w:r>
        <w:t xml:space="preserve"> and RPMS algorithms performing best, and the CHAID and Entropy algorithms, regardless of whether weights were applied, performing worse. </w:t>
      </w:r>
    </w:p>
    <w:p w14:paraId="418A513D" w14:textId="77777777" w:rsidR="002B5E7B" w:rsidRDefault="002B5E7B" w:rsidP="002B5E7B">
      <w:pPr>
        <w:pStyle w:val="L1-FlLSp12"/>
      </w:pPr>
    </w:p>
    <w:p w14:paraId="725B6B99" w14:textId="7330BE0A" w:rsidR="002B5E7B" w:rsidRDefault="002B5E7B" w:rsidP="002B5E7B">
      <w:pPr>
        <w:pStyle w:val="L1-FlLSp12"/>
      </w:pPr>
      <w:r>
        <w:t xml:space="preserve">Figure 3 shows the simulation results of the </w:t>
      </w:r>
      <w:r w:rsidRPr="00607336">
        <w:rPr>
          <w:i/>
        </w:rPr>
        <w:t>low</w:t>
      </w:r>
      <w:r>
        <w:t xml:space="preserve">-response setting </w:t>
      </w:r>
      <w:r w:rsidRPr="00DB55C9">
        <w:t xml:space="preserve">under </w:t>
      </w:r>
      <w:r w:rsidR="00934DCD" w:rsidRPr="00DB55C9">
        <w:t>an</w:t>
      </w:r>
      <w:r w:rsidRPr="00DB55C9">
        <w:t xml:space="preserve"> SRS or uninform</w:t>
      </w:r>
      <w:r>
        <w:t>ative</w:t>
      </w:r>
      <w:r w:rsidRPr="00DB55C9">
        <w:t xml:space="preserve"> design</w:t>
      </w:r>
      <w:r>
        <w:t>. The same patterns as those observed in Figure 1 can be found in Figure 3, at a much higher magn</w:t>
      </w:r>
      <w:r w:rsidRPr="002E12A7">
        <w:t>itude. For example, in the bottom row of the grid where the maximum RelBias in Figure 1 was just over 20 percent</w:t>
      </w:r>
      <w:r>
        <w:t>,</w:t>
      </w:r>
      <w:r w:rsidRPr="002E12A7">
        <w:t xml:space="preserve"> </w:t>
      </w:r>
      <w:r>
        <w:t>it</w:t>
      </w:r>
      <w:r w:rsidRPr="002E12A7">
        <w:t xml:space="preserve"> is now close to 80 percent </w:t>
      </w:r>
      <w:r>
        <w:t>for the equivalent panels i</w:t>
      </w:r>
      <w:r w:rsidRPr="002E12A7">
        <w:t>n Figure 3</w:t>
      </w:r>
      <w:r>
        <w:t>. In particular, consider the lower right panel where the correlation between the auxiliary variable and outcome variable and the correlation between the auxiliary variable and response propensity are both high. The CHAID algorithm performed extremely poorly under those conditions, minimally reducing the high level of relative bias, and performed much worse than any other algorithm. A similar, yet not as extreme, result can be seen in the middle panel on the bottom row. In this scenario, instead of CHAID it is the RPMS algorithm that performed the worst at reducing the bias, with CHAID (when weights were applied) performing</w:t>
      </w:r>
      <w:r w:rsidR="00077C6F" w:rsidRPr="00077C6F">
        <w:t xml:space="preserve"> </w:t>
      </w:r>
      <w:r w:rsidR="00077C6F">
        <w:t>only</w:t>
      </w:r>
      <w:r>
        <w:t xml:space="preserve"> slightly better than RPMS. Again, as with the conditions under Figure 1, under the Figure 3 conditions the CTREE algorithm was the most successful and consistent in reducing the bias associated with nonresponse compared to the other algorithms considered, followed by entropy and REEM.</w:t>
      </w:r>
      <w:r w:rsidRPr="00D869CC">
        <w:t xml:space="preserve"> </w:t>
      </w:r>
    </w:p>
    <w:p w14:paraId="383BAFA3" w14:textId="77777777" w:rsidR="002B5E7B" w:rsidRDefault="002B5E7B" w:rsidP="002B5E7B">
      <w:pPr>
        <w:pStyle w:val="L1-FlLSp12"/>
      </w:pPr>
    </w:p>
    <w:p w14:paraId="64CDDF26" w14:textId="77777777" w:rsidR="002B5E7B" w:rsidRDefault="002B5E7B" w:rsidP="002B5E7B">
      <w:pPr>
        <w:pStyle w:val="L1-FlLSp12"/>
      </w:pPr>
      <w:r w:rsidRPr="00077C6F">
        <w:t>Figure</w:t>
      </w:r>
      <w:r>
        <w:t xml:space="preserve"> 4 shows the simulation results of the </w:t>
      </w:r>
      <w:r w:rsidRPr="00607336">
        <w:rPr>
          <w:i/>
        </w:rPr>
        <w:t>low</w:t>
      </w:r>
      <w:r>
        <w:t xml:space="preserve">-response setting </w:t>
      </w:r>
      <w:r w:rsidRPr="00DB55C9">
        <w:t>under a</w:t>
      </w:r>
      <w:r>
        <w:t xml:space="preserve">n informative </w:t>
      </w:r>
      <w:r w:rsidRPr="00DB55C9">
        <w:t>design</w:t>
      </w:r>
      <w:r>
        <w:t>. The same patterns as those observed in Figure 3 can be found in Figure 4, with similar levels of</w:t>
      </w:r>
      <w:r w:rsidRPr="008814D5">
        <w:t xml:space="preserve"> </w:t>
      </w:r>
      <w:r>
        <w:t>RelBias, indicating the sample design has minimal effect on the performance of the algorithms.</w:t>
      </w:r>
    </w:p>
    <w:p w14:paraId="48F693F7" w14:textId="77777777" w:rsidR="002B5E7B" w:rsidRDefault="002B5E7B" w:rsidP="002B5E7B">
      <w:pPr>
        <w:pStyle w:val="L1-FlLSp12"/>
      </w:pPr>
    </w:p>
    <w:p w14:paraId="3697386F" w14:textId="2FF78D7B" w:rsidR="002B5E7B" w:rsidRDefault="002B5E7B" w:rsidP="002B5E7B">
      <w:pPr>
        <w:pStyle w:val="L1-FlLSp12"/>
      </w:pPr>
      <w:r>
        <w:t>The patterns exhibited in the bar charts of Figure</w:t>
      </w:r>
      <w:r w:rsidR="00077C6F">
        <w:t xml:space="preserve">s </w:t>
      </w:r>
      <w:r>
        <w:t>1 and 2 are very similar as are the patterns in Figures 3 and 4, lending credence to the conclusion that under our simulation conditions, the sample design did not affect the performance of the algorithms. Algorithm performance depended more on the level of nonresponse and the correlation between the auxiliary variable and both response propensity and outcome variable.</w:t>
      </w:r>
    </w:p>
    <w:p w14:paraId="625CBBA9" w14:textId="77777777" w:rsidR="002B5E7B" w:rsidRDefault="002B5E7B" w:rsidP="002B5E7B">
      <w:pPr>
        <w:pStyle w:val="L1-FlLSp12"/>
      </w:pPr>
    </w:p>
    <w:p w14:paraId="1A982B39" w14:textId="77777777" w:rsidR="002B5E7B" w:rsidRDefault="002B5E7B">
      <w:pPr>
        <w:spacing w:after="160" w:line="259" w:lineRule="auto"/>
        <w:sectPr w:rsidR="002B5E7B" w:rsidSect="00B6098D">
          <w:headerReference w:type="default" r:id="rId13"/>
          <w:footerReference w:type="default" r:id="rId14"/>
          <w:pgSz w:w="12240" w:h="15840"/>
          <w:pgMar w:top="1440" w:right="2160" w:bottom="1440" w:left="2160" w:header="720" w:footer="720" w:gutter="0"/>
          <w:cols w:space="720"/>
          <w:docGrid w:linePitch="360"/>
        </w:sectPr>
      </w:pPr>
    </w:p>
    <w:p w14:paraId="1D5C1E50" w14:textId="1F1C1840" w:rsidR="009334E9" w:rsidRDefault="00372B14" w:rsidP="0014654E">
      <w:pPr>
        <w:pStyle w:val="L1-FlLSp12"/>
      </w:pPr>
      <w:r>
        <w:rPr>
          <w:noProof/>
        </w:rPr>
        <w:drawing>
          <wp:inline distT="0" distB="0" distL="0" distR="0" wp14:anchorId="13DB1EAD" wp14:editId="07C65F37">
            <wp:extent cx="8229600" cy="4702810"/>
            <wp:effectExtent l="0" t="0" r="0" b="2540"/>
            <wp:docPr id="1460096333" name="Picture 1" descr="A graph of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96333" name="Picture 1" descr="A graph of numbers and lines&#10;&#10;Description automatically generated with medium confidence"/>
                    <pic:cNvPicPr/>
                  </pic:nvPicPr>
                  <pic:blipFill>
                    <a:blip r:embed="rId15"/>
                    <a:stretch>
                      <a:fillRect/>
                    </a:stretch>
                  </pic:blipFill>
                  <pic:spPr>
                    <a:xfrm>
                      <a:off x="0" y="0"/>
                      <a:ext cx="8229600" cy="4702810"/>
                    </a:xfrm>
                    <a:prstGeom prst="rect">
                      <a:avLst/>
                    </a:prstGeom>
                  </pic:spPr>
                </pic:pic>
              </a:graphicData>
            </a:graphic>
          </wp:inline>
        </w:drawing>
      </w:r>
    </w:p>
    <w:p w14:paraId="35552392" w14:textId="572F7C56" w:rsidR="009334E9" w:rsidRPr="002B5E7B" w:rsidRDefault="009334E9" w:rsidP="002B5E7B">
      <w:pPr>
        <w:pStyle w:val="FT-FigureTItle"/>
        <w:rPr>
          <w:b w:val="0"/>
          <w:bCs/>
        </w:rPr>
      </w:pPr>
      <w:r>
        <w:t>Figure 2</w:t>
      </w:r>
      <w:r w:rsidR="002B5E7B">
        <w:t>:</w:t>
      </w:r>
      <w:r>
        <w:t xml:space="preserve"> </w:t>
      </w:r>
      <w:r w:rsidR="00D42D4B" w:rsidRPr="002B5E7B">
        <w:rPr>
          <w:b w:val="0"/>
          <w:bCs/>
        </w:rPr>
        <w:t xml:space="preserve">Estimates of RelBias under </w:t>
      </w:r>
      <w:r w:rsidR="009768BD" w:rsidRPr="002B5E7B">
        <w:rPr>
          <w:b w:val="0"/>
          <w:bCs/>
        </w:rPr>
        <w:t>I</w:t>
      </w:r>
      <w:r w:rsidRPr="002B5E7B">
        <w:rPr>
          <w:b w:val="0"/>
          <w:bCs/>
        </w:rPr>
        <w:t xml:space="preserve">nformative </w:t>
      </w:r>
      <w:r w:rsidR="00D42D4B" w:rsidRPr="002B5E7B">
        <w:rPr>
          <w:b w:val="0"/>
          <w:bCs/>
        </w:rPr>
        <w:t>sample design for high response</w:t>
      </w:r>
    </w:p>
    <w:p w14:paraId="1CF29B86" w14:textId="4BA47075" w:rsidR="009334E9" w:rsidRDefault="009334E9" w:rsidP="0014654E">
      <w:pPr>
        <w:pStyle w:val="L1-FlLSp12"/>
      </w:pPr>
    </w:p>
    <w:p w14:paraId="6DB41F0B" w14:textId="4FBE7499" w:rsidR="009334E9" w:rsidRPr="002B5E7B" w:rsidRDefault="00D44555" w:rsidP="002B5E7B">
      <w:pPr>
        <w:pStyle w:val="FT-FigureTItle"/>
        <w:rPr>
          <w:b w:val="0"/>
          <w:bCs/>
        </w:rPr>
      </w:pPr>
      <w:r>
        <w:rPr>
          <w:noProof/>
        </w:rPr>
        <w:drawing>
          <wp:inline distT="0" distB="0" distL="0" distR="0" wp14:anchorId="5FFCB10F" wp14:editId="5251EBC0">
            <wp:extent cx="8229600" cy="4702810"/>
            <wp:effectExtent l="0" t="0" r="0" b="2540"/>
            <wp:docPr id="1962110796"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10796" name="Picture 1" descr="A graph of different colored bars&#10;&#10;Description automatically generated with medium confidence"/>
                    <pic:cNvPicPr/>
                  </pic:nvPicPr>
                  <pic:blipFill>
                    <a:blip r:embed="rId16"/>
                    <a:stretch>
                      <a:fillRect/>
                    </a:stretch>
                  </pic:blipFill>
                  <pic:spPr>
                    <a:xfrm>
                      <a:off x="0" y="0"/>
                      <a:ext cx="8229600" cy="4702810"/>
                    </a:xfrm>
                    <a:prstGeom prst="rect">
                      <a:avLst/>
                    </a:prstGeom>
                  </pic:spPr>
                </pic:pic>
              </a:graphicData>
            </a:graphic>
          </wp:inline>
        </w:drawing>
      </w:r>
      <w:r w:rsidR="009334E9">
        <w:t>Figure 3</w:t>
      </w:r>
      <w:r w:rsidR="002B5E7B">
        <w:t>:</w:t>
      </w:r>
      <w:r w:rsidR="009334E9">
        <w:t xml:space="preserve"> </w:t>
      </w:r>
      <w:r w:rsidR="0088490E" w:rsidRPr="002B5E7B">
        <w:rPr>
          <w:b w:val="0"/>
          <w:bCs/>
        </w:rPr>
        <w:t xml:space="preserve">Estimates of RelBias under </w:t>
      </w:r>
      <w:r w:rsidR="009768BD" w:rsidRPr="002B5E7B">
        <w:rPr>
          <w:b w:val="0"/>
          <w:bCs/>
        </w:rPr>
        <w:t>Unin</w:t>
      </w:r>
      <w:r w:rsidR="009334E9" w:rsidRPr="002B5E7B">
        <w:rPr>
          <w:b w:val="0"/>
          <w:bCs/>
        </w:rPr>
        <w:t xml:space="preserve">formative </w:t>
      </w:r>
      <w:r w:rsidR="0088490E" w:rsidRPr="002B5E7B">
        <w:rPr>
          <w:b w:val="0"/>
          <w:bCs/>
        </w:rPr>
        <w:t>sample design for low response</w:t>
      </w:r>
    </w:p>
    <w:p w14:paraId="4409C473" w14:textId="2C2C9426" w:rsidR="009334E9" w:rsidRDefault="009334E9" w:rsidP="0014654E">
      <w:pPr>
        <w:pStyle w:val="L1-FlLSp12"/>
      </w:pPr>
    </w:p>
    <w:p w14:paraId="6D407CBA" w14:textId="2DDE15E3" w:rsidR="009334E9" w:rsidRDefault="00D44555" w:rsidP="0014654E">
      <w:pPr>
        <w:pStyle w:val="L1-FlLSp12"/>
      </w:pPr>
      <w:r>
        <w:rPr>
          <w:noProof/>
        </w:rPr>
        <w:drawing>
          <wp:inline distT="0" distB="0" distL="0" distR="0" wp14:anchorId="3BFA715E" wp14:editId="68BD63AC">
            <wp:extent cx="8229600" cy="4702810"/>
            <wp:effectExtent l="0" t="0" r="0" b="2540"/>
            <wp:docPr id="567670632"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70632" name="Picture 1" descr="A graph of different colored squares&#10;&#10;Description automatically generated with medium confidence"/>
                    <pic:cNvPicPr/>
                  </pic:nvPicPr>
                  <pic:blipFill>
                    <a:blip r:embed="rId17"/>
                    <a:stretch>
                      <a:fillRect/>
                    </a:stretch>
                  </pic:blipFill>
                  <pic:spPr>
                    <a:xfrm>
                      <a:off x="0" y="0"/>
                      <a:ext cx="8229600" cy="4702810"/>
                    </a:xfrm>
                    <a:prstGeom prst="rect">
                      <a:avLst/>
                    </a:prstGeom>
                  </pic:spPr>
                </pic:pic>
              </a:graphicData>
            </a:graphic>
          </wp:inline>
        </w:drawing>
      </w:r>
    </w:p>
    <w:p w14:paraId="299A2625" w14:textId="5E72D7AA" w:rsidR="009334E9" w:rsidRDefault="009334E9" w:rsidP="00B6098D">
      <w:pPr>
        <w:pStyle w:val="FT-FigureTItle"/>
      </w:pPr>
      <w:r>
        <w:t>Figure 4</w:t>
      </w:r>
      <w:r w:rsidR="002B5E7B">
        <w:t>:</w:t>
      </w:r>
      <w:r w:rsidRPr="002B5E7B">
        <w:rPr>
          <w:b w:val="0"/>
          <w:bCs/>
        </w:rPr>
        <w:t xml:space="preserve"> </w:t>
      </w:r>
      <w:r w:rsidR="00103E81" w:rsidRPr="002B5E7B">
        <w:rPr>
          <w:b w:val="0"/>
          <w:bCs/>
        </w:rPr>
        <w:t xml:space="preserve">Estimates of RelBias under </w:t>
      </w:r>
      <w:r w:rsidRPr="002B5E7B">
        <w:rPr>
          <w:b w:val="0"/>
          <w:bCs/>
        </w:rPr>
        <w:t xml:space="preserve">Informative </w:t>
      </w:r>
      <w:r w:rsidR="00103E81" w:rsidRPr="002B5E7B">
        <w:rPr>
          <w:b w:val="0"/>
          <w:bCs/>
        </w:rPr>
        <w:t>sample design for low response</w:t>
      </w:r>
    </w:p>
    <w:p w14:paraId="2A7B827F" w14:textId="77777777" w:rsidR="009334E9" w:rsidRDefault="009334E9" w:rsidP="0014654E">
      <w:pPr>
        <w:pStyle w:val="L1-FlLSp12"/>
        <w:sectPr w:rsidR="009334E9" w:rsidSect="009334E9">
          <w:headerReference w:type="default" r:id="rId18"/>
          <w:footerReference w:type="default" r:id="rId19"/>
          <w:pgSz w:w="15840" w:h="12240" w:orient="landscape"/>
          <w:pgMar w:top="2160" w:right="1440" w:bottom="2160" w:left="1440" w:header="720" w:footer="720" w:gutter="0"/>
          <w:cols w:space="720"/>
          <w:docGrid w:linePitch="360"/>
        </w:sectPr>
      </w:pPr>
    </w:p>
    <w:p w14:paraId="454B18E2" w14:textId="46FB674C" w:rsidR="00761C59" w:rsidRDefault="00077C6F" w:rsidP="0014654E">
      <w:pPr>
        <w:pStyle w:val="L1-FlLSp12"/>
      </w:pPr>
      <w:r>
        <w:t>Next,</w:t>
      </w:r>
      <w:r w:rsidR="00761C59">
        <w:t xml:space="preserve"> we </w:t>
      </w:r>
      <w:r w:rsidR="00AA1238">
        <w:t xml:space="preserve">examine how the algorithms perform </w:t>
      </w:r>
      <w:r w:rsidR="00C33944">
        <w:t xml:space="preserve">by considering the </w:t>
      </w:r>
      <w:r w:rsidR="00665898">
        <w:t>relative root mean squared error (</w:t>
      </w:r>
      <w:r w:rsidR="00326513">
        <w:t>R</w:t>
      </w:r>
      <w:r w:rsidR="00C33944">
        <w:t>RM</w:t>
      </w:r>
      <w:r w:rsidR="00AA1238">
        <w:t>SE</w:t>
      </w:r>
      <w:r w:rsidR="00665898">
        <w:t>)</w:t>
      </w:r>
      <w:r w:rsidR="00AA1238">
        <w:t xml:space="preserve"> </w:t>
      </w:r>
      <w:r w:rsidR="00C33944">
        <w:t xml:space="preserve">under the applied simulation scenarios. As with the relative bias comparisons, our </w:t>
      </w:r>
      <w:r w:rsidR="00326513">
        <w:t>R</w:t>
      </w:r>
      <w:r w:rsidR="00C33944">
        <w:t xml:space="preserve">RMSE comparisons will be visual. </w:t>
      </w:r>
      <w:r w:rsidR="003029DA">
        <w:t xml:space="preserve">The figures showing results </w:t>
      </w:r>
      <w:r w:rsidR="00D94C1F">
        <w:t xml:space="preserve">include two panels of </w:t>
      </w:r>
      <w:r w:rsidR="00326513">
        <w:t>R</w:t>
      </w:r>
      <w:r w:rsidR="00D94C1F">
        <w:t>RMSEs</w:t>
      </w:r>
      <w:r w:rsidR="003029DA">
        <w:t xml:space="preserve">; the </w:t>
      </w:r>
      <w:r w:rsidR="00D94C1F">
        <w:t xml:space="preserve">one </w:t>
      </w:r>
      <w:r w:rsidR="003029DA">
        <w:t xml:space="preserve">on the left </w:t>
      </w:r>
      <w:r w:rsidR="00D94C1F">
        <w:t xml:space="preserve">for the uninformative design and the other for the informative design. Along the vertical axis of each panel in the figures </w:t>
      </w:r>
      <w:r w:rsidR="00280365">
        <w:t xml:space="preserve">are the </w:t>
      </w:r>
      <w:r w:rsidR="00D94C1F">
        <w:t>resulting RMSE</w:t>
      </w:r>
      <w:r w:rsidR="00280365">
        <w:t>s f</w:t>
      </w:r>
      <w:r w:rsidR="00D94C1F">
        <w:t xml:space="preserve">or each algorithm tested </w:t>
      </w:r>
      <w:r w:rsidR="00280365">
        <w:t xml:space="preserve">and each level of correlation between the auxiliary variable and response propensity. </w:t>
      </w:r>
    </w:p>
    <w:p w14:paraId="7056C12E" w14:textId="4B3DE212" w:rsidR="00280365" w:rsidRDefault="00280365" w:rsidP="0014654E">
      <w:pPr>
        <w:pStyle w:val="L1-FlLSp12"/>
      </w:pPr>
    </w:p>
    <w:p w14:paraId="00D35080" w14:textId="3CA2675A" w:rsidR="003029DA" w:rsidRDefault="00280365" w:rsidP="0014654E">
      <w:pPr>
        <w:pStyle w:val="L1-FlLSp12"/>
      </w:pPr>
      <w:r>
        <w:t xml:space="preserve">Figure 5 shows the </w:t>
      </w:r>
      <w:r w:rsidR="00326513">
        <w:t>R</w:t>
      </w:r>
      <w:r>
        <w:t>RMSE results under the high</w:t>
      </w:r>
      <w:r w:rsidR="007F2841">
        <w:t>-</w:t>
      </w:r>
      <w:r>
        <w:t xml:space="preserve">response scenario. </w:t>
      </w:r>
      <w:r w:rsidR="001617EC">
        <w:t xml:space="preserve">The majority of </w:t>
      </w:r>
      <w:r w:rsidR="00326513">
        <w:t>R</w:t>
      </w:r>
      <w:r w:rsidR="001617EC">
        <w:t xml:space="preserve">RMSE values are below 10 percent </w:t>
      </w:r>
      <w:r w:rsidR="003029DA">
        <w:t xml:space="preserve">for </w:t>
      </w:r>
      <w:r w:rsidR="006A39DA">
        <w:t>all</w:t>
      </w:r>
      <w:r w:rsidR="003029DA">
        <w:t xml:space="preserve"> the algorithms, </w:t>
      </w:r>
      <w:r w:rsidR="001617EC">
        <w:t xml:space="preserve">with </w:t>
      </w:r>
      <w:r w:rsidR="007A0BE3">
        <w:t xml:space="preserve">most of </w:t>
      </w:r>
      <w:r w:rsidR="001617EC">
        <w:t xml:space="preserve">those over that threshold coming from </w:t>
      </w:r>
      <w:r w:rsidR="00780785">
        <w:t xml:space="preserve">the </w:t>
      </w:r>
      <w:r w:rsidR="001617EC">
        <w:t>scenario of a high correlation between the auxiliary variable and response propensity for the synthetic outcome variable (</w:t>
      </w:r>
      <w:r w:rsidR="00780785">
        <w:t xml:space="preserve">i.e., </w:t>
      </w:r>
      <w:r w:rsidR="006A39DA">
        <w:t xml:space="preserve">a </w:t>
      </w:r>
      <w:r w:rsidR="00780785">
        <w:t xml:space="preserve">high correlation between the auxiliary variable and the outcome variable). </w:t>
      </w:r>
      <w:r w:rsidR="007A0BE3">
        <w:t xml:space="preserve">The high values of </w:t>
      </w:r>
      <w:r w:rsidR="00326513">
        <w:t>R</w:t>
      </w:r>
      <w:r w:rsidR="007A0BE3">
        <w:t xml:space="preserve">RMSE </w:t>
      </w:r>
      <w:r w:rsidR="003029DA">
        <w:t xml:space="preserve">are also mostly associated with CHAID, when applying weights and not applying weights to the algorithm. The CTREE and REEM methods consistently produced the lowest </w:t>
      </w:r>
      <w:r w:rsidR="00326513">
        <w:t>R</w:t>
      </w:r>
      <w:r w:rsidR="003029DA">
        <w:t xml:space="preserve">RMSEs except for one CTREE scenario. </w:t>
      </w:r>
    </w:p>
    <w:p w14:paraId="069772FC" w14:textId="77777777" w:rsidR="003029DA" w:rsidRDefault="003029DA" w:rsidP="0014654E">
      <w:pPr>
        <w:pStyle w:val="L1-FlLSp12"/>
      </w:pPr>
    </w:p>
    <w:p w14:paraId="201696CC" w14:textId="389F83F3" w:rsidR="00280365" w:rsidRDefault="003029DA" w:rsidP="0014654E">
      <w:pPr>
        <w:pStyle w:val="L1-FlLSp12"/>
      </w:pPr>
      <w:r>
        <w:t xml:space="preserve">Figure 6 includes </w:t>
      </w:r>
      <w:r w:rsidR="00326513">
        <w:t>R</w:t>
      </w:r>
      <w:r>
        <w:t>RMSE results under the low</w:t>
      </w:r>
      <w:r w:rsidR="007F2841">
        <w:t>-</w:t>
      </w:r>
      <w:r>
        <w:t xml:space="preserve">response scenario. Most of the </w:t>
      </w:r>
      <w:r w:rsidR="00326513">
        <w:t>R</w:t>
      </w:r>
      <w:r>
        <w:t xml:space="preserve">RMSEs associated with low and medium correlation between the auxiliary variable and the outcome variable are below 10 percent. Almost all of the </w:t>
      </w:r>
      <w:r w:rsidR="00326513">
        <w:t>R</w:t>
      </w:r>
      <w:r>
        <w:t xml:space="preserve">RMSE values higher than 10 percent are associated with the synthetic outcome variable, i.e., the variable that is highly correlated with the auxiliary variable. </w:t>
      </w:r>
      <w:r w:rsidR="00F91675">
        <w:t>Under the low</w:t>
      </w:r>
      <w:r w:rsidR="007F2841">
        <w:t>-</w:t>
      </w:r>
      <w:r w:rsidR="00F91675">
        <w:t xml:space="preserve">response condition, the CTREE algorithm consistently outperformed the other algorithms, especially with respect to the synthetic outcome variable. On the other hand, the CHAID algorithm consistently underperformed, with the </w:t>
      </w:r>
      <w:r w:rsidR="00326513">
        <w:t>R</w:t>
      </w:r>
      <w:r w:rsidR="00F91675">
        <w:t xml:space="preserve">RMSE associated with the synthetic variable exceeding 70 percent. </w:t>
      </w:r>
    </w:p>
    <w:p w14:paraId="070AC9CD" w14:textId="243CDCDD" w:rsidR="00C33944" w:rsidRDefault="00C33944" w:rsidP="0014654E">
      <w:pPr>
        <w:pStyle w:val="L1-FlLSp12"/>
      </w:pPr>
    </w:p>
    <w:p w14:paraId="675C90CC" w14:textId="77777777" w:rsidR="00C33944" w:rsidRDefault="00C33944" w:rsidP="0014654E">
      <w:pPr>
        <w:pStyle w:val="L1-FlLSp12"/>
        <w:sectPr w:rsidR="00C33944" w:rsidSect="0064367C">
          <w:headerReference w:type="default" r:id="rId20"/>
          <w:pgSz w:w="12240" w:h="15840"/>
          <w:pgMar w:top="1440" w:right="2160" w:bottom="1440" w:left="2160" w:header="720" w:footer="720" w:gutter="0"/>
          <w:cols w:space="720"/>
          <w:docGrid w:linePitch="360"/>
        </w:sectPr>
      </w:pPr>
    </w:p>
    <w:p w14:paraId="6111FEAE" w14:textId="3C5E7C82" w:rsidR="00DB3E3A" w:rsidRDefault="00F50CA2" w:rsidP="00DB3E3A">
      <w:r>
        <w:rPr>
          <w:noProof/>
        </w:rPr>
        <w:drawing>
          <wp:inline distT="0" distB="0" distL="0" distR="0" wp14:anchorId="191C7EC9" wp14:editId="60DE4B93">
            <wp:extent cx="3542348" cy="4675517"/>
            <wp:effectExtent l="0" t="0" r="1270" b="0"/>
            <wp:docPr id="825122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246" r="22069" b="337"/>
                    <a:stretch/>
                  </pic:blipFill>
                  <pic:spPr bwMode="auto">
                    <a:xfrm>
                      <a:off x="0" y="0"/>
                      <a:ext cx="3548162" cy="46831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E997E2" wp14:editId="47ECBB38">
            <wp:extent cx="4467860" cy="4675517"/>
            <wp:effectExtent l="0" t="0" r="8890" b="0"/>
            <wp:docPr id="1100511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1247" r="1425" b="162"/>
                    <a:stretch/>
                  </pic:blipFill>
                  <pic:spPr bwMode="auto">
                    <a:xfrm>
                      <a:off x="0" y="0"/>
                      <a:ext cx="4476615" cy="4684679"/>
                    </a:xfrm>
                    <a:prstGeom prst="rect">
                      <a:avLst/>
                    </a:prstGeom>
                    <a:noFill/>
                    <a:ln>
                      <a:noFill/>
                    </a:ln>
                    <a:extLst>
                      <a:ext uri="{53640926-AAD7-44D8-BBD7-CCE9431645EC}">
                        <a14:shadowObscured xmlns:a14="http://schemas.microsoft.com/office/drawing/2010/main"/>
                      </a:ext>
                    </a:extLst>
                  </pic:spPr>
                </pic:pic>
              </a:graphicData>
            </a:graphic>
          </wp:inline>
        </w:drawing>
      </w:r>
    </w:p>
    <w:p w14:paraId="0A643B72" w14:textId="1AEC2AB8" w:rsidR="00DB3E3A" w:rsidRPr="002B5E7B" w:rsidRDefault="00326513" w:rsidP="00F1183F">
      <w:pPr>
        <w:pStyle w:val="FT-FigureTItle"/>
        <w:keepNext w:val="0"/>
        <w:keepLines w:val="0"/>
        <w:widowControl w:val="0"/>
        <w:rPr>
          <w:b w:val="0"/>
          <w:bCs/>
        </w:rPr>
      </w:pPr>
      <w:r>
        <w:t>Figure 5</w:t>
      </w:r>
      <w:r w:rsidR="002B5E7B">
        <w:t>:</w:t>
      </w:r>
      <w:r w:rsidRPr="002B5E7B">
        <w:rPr>
          <w:b w:val="0"/>
          <w:bCs/>
        </w:rPr>
        <w:t xml:space="preserve"> Estimates of RRMSE for high r</w:t>
      </w:r>
      <w:r w:rsidR="00DB3E3A" w:rsidRPr="002B5E7B">
        <w:rPr>
          <w:b w:val="0"/>
          <w:bCs/>
        </w:rPr>
        <w:t>esponse</w:t>
      </w:r>
    </w:p>
    <w:p w14:paraId="731E7990" w14:textId="61420101" w:rsidR="00DB3E3A" w:rsidRDefault="00DB3E3A" w:rsidP="00DB3E3A">
      <w:r>
        <w:rPr>
          <w:noProof/>
        </w:rPr>
        <w:drawing>
          <wp:inline distT="0" distB="0" distL="0" distR="0" wp14:anchorId="4C67A8AC" wp14:editId="68441A68">
            <wp:extent cx="3579662" cy="4776039"/>
            <wp:effectExtent l="0" t="0" r="1905" b="5715"/>
            <wp:docPr id="13750167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1424" r="19604"/>
                    <a:stretch/>
                  </pic:blipFill>
                  <pic:spPr bwMode="auto">
                    <a:xfrm>
                      <a:off x="0" y="0"/>
                      <a:ext cx="3580600" cy="4777291"/>
                    </a:xfrm>
                    <a:prstGeom prst="rect">
                      <a:avLst/>
                    </a:prstGeom>
                    <a:noFill/>
                    <a:ln>
                      <a:noFill/>
                    </a:ln>
                    <a:extLst>
                      <a:ext uri="{53640926-AAD7-44D8-BBD7-CCE9431645EC}">
                        <a14:shadowObscured xmlns:a14="http://schemas.microsoft.com/office/drawing/2010/main"/>
                      </a:ext>
                    </a:extLst>
                  </pic:spPr>
                </pic:pic>
              </a:graphicData>
            </a:graphic>
          </wp:inline>
        </w:drawing>
      </w:r>
      <w:r w:rsidR="0012675E">
        <w:rPr>
          <w:noProof/>
        </w:rPr>
        <w:drawing>
          <wp:inline distT="0" distB="0" distL="0" distR="0" wp14:anchorId="1B672EF9" wp14:editId="370133E2">
            <wp:extent cx="4453255" cy="4776815"/>
            <wp:effectExtent l="0" t="0" r="4445" b="5080"/>
            <wp:docPr id="1396772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1424"/>
                    <a:stretch/>
                  </pic:blipFill>
                  <pic:spPr bwMode="auto">
                    <a:xfrm>
                      <a:off x="0" y="0"/>
                      <a:ext cx="4453709" cy="4777302"/>
                    </a:xfrm>
                    <a:prstGeom prst="rect">
                      <a:avLst/>
                    </a:prstGeom>
                    <a:noFill/>
                    <a:ln>
                      <a:noFill/>
                    </a:ln>
                    <a:extLst>
                      <a:ext uri="{53640926-AAD7-44D8-BBD7-CCE9431645EC}">
                        <a14:shadowObscured xmlns:a14="http://schemas.microsoft.com/office/drawing/2010/main"/>
                      </a:ext>
                    </a:extLst>
                  </pic:spPr>
                </pic:pic>
              </a:graphicData>
            </a:graphic>
          </wp:inline>
        </w:drawing>
      </w:r>
    </w:p>
    <w:p w14:paraId="3E3009A3" w14:textId="47488691" w:rsidR="00DB3E3A" w:rsidRPr="002B5E7B" w:rsidRDefault="00326513" w:rsidP="002B5E7B">
      <w:pPr>
        <w:pStyle w:val="FT-FigureTItle"/>
        <w:rPr>
          <w:b w:val="0"/>
          <w:bCs/>
        </w:rPr>
      </w:pPr>
      <w:r>
        <w:t>Figure 6</w:t>
      </w:r>
      <w:r w:rsidR="002B5E7B">
        <w:t>:</w:t>
      </w:r>
      <w:r>
        <w:t xml:space="preserve"> </w:t>
      </w:r>
      <w:r w:rsidRPr="002B5E7B">
        <w:rPr>
          <w:b w:val="0"/>
          <w:bCs/>
        </w:rPr>
        <w:t>Estimates of RRMSE for low r</w:t>
      </w:r>
      <w:r w:rsidR="00DB3E3A" w:rsidRPr="002B5E7B">
        <w:rPr>
          <w:b w:val="0"/>
          <w:bCs/>
        </w:rPr>
        <w:t>esponse</w:t>
      </w:r>
    </w:p>
    <w:p w14:paraId="309A22FC" w14:textId="77777777" w:rsidR="00C33944" w:rsidRDefault="00C33944" w:rsidP="0014654E">
      <w:pPr>
        <w:pStyle w:val="L1-FlLSp12"/>
        <w:sectPr w:rsidR="00C33944" w:rsidSect="00C33944">
          <w:headerReference w:type="default" r:id="rId25"/>
          <w:footerReference w:type="default" r:id="rId26"/>
          <w:pgSz w:w="15840" w:h="12240" w:orient="landscape"/>
          <w:pgMar w:top="2160" w:right="1440" w:bottom="2160" w:left="1440" w:header="720" w:footer="720" w:gutter="0"/>
          <w:cols w:space="720"/>
          <w:docGrid w:linePitch="360"/>
        </w:sectPr>
      </w:pPr>
    </w:p>
    <w:p w14:paraId="374696D9" w14:textId="0DAFBD35" w:rsidR="00767E3F" w:rsidRPr="00600ACE" w:rsidRDefault="00FA0A8F" w:rsidP="00FA0A8F">
      <w:pPr>
        <w:pStyle w:val="C1-CtrBoldHd"/>
      </w:pPr>
      <w:r>
        <w:t>6. Conclusions</w:t>
      </w:r>
    </w:p>
    <w:p w14:paraId="62C96721" w14:textId="2EA4862D" w:rsidR="0081736B" w:rsidRDefault="004C1D2F" w:rsidP="00FA0A8F">
      <w:pPr>
        <w:pStyle w:val="L1-FlLSp12"/>
      </w:pPr>
      <w:r>
        <w:t xml:space="preserve">Using the 2013-2017 ACS PUMS data as a pseudo-population, </w:t>
      </w:r>
      <w:r w:rsidR="00A57230">
        <w:t xml:space="preserve">and under a cluster sample design, </w:t>
      </w:r>
      <w:r w:rsidR="00A832CA">
        <w:t xml:space="preserve">we selected repeated samples drawn from a fixed population with </w:t>
      </w:r>
      <w:r w:rsidR="00F87471">
        <w:t>PUMAs</w:t>
      </w:r>
      <w:r w:rsidR="00A832CA">
        <w:t xml:space="preserve"> serving as the </w:t>
      </w:r>
      <w:r w:rsidR="00DB556D">
        <w:t>PSUs</w:t>
      </w:r>
      <w:r w:rsidR="00A832CA">
        <w:t xml:space="preserve">. By using the ACS PUMS as our fixed population, we were able to mimic a </w:t>
      </w:r>
      <w:r w:rsidR="009B7F4F">
        <w:t xml:space="preserve">clustered </w:t>
      </w:r>
      <w:r w:rsidR="00A832CA">
        <w:t>national household-level survey and introduce a nonresponse mechanism that allowed for comparisons between estimates and true population values. We</w:t>
      </w:r>
      <w:r>
        <w:t xml:space="preserve"> investigated the use of </w:t>
      </w:r>
      <w:r w:rsidR="009F3228">
        <w:t xml:space="preserve">the </w:t>
      </w:r>
      <w:r w:rsidR="000C448D">
        <w:t xml:space="preserve">following </w:t>
      </w:r>
      <w:r w:rsidR="00E528F7">
        <w:t xml:space="preserve">five </w:t>
      </w:r>
      <w:r>
        <w:t>tree algorithms for producing nonresponse classification cells using a simulation study</w:t>
      </w:r>
      <w:r w:rsidR="000C448D">
        <w:t>:</w:t>
      </w:r>
      <w:r>
        <w:t xml:space="preserve"> </w:t>
      </w:r>
      <w:r>
        <w:rPr>
          <w:i/>
        </w:rPr>
        <w:t>rpms</w:t>
      </w:r>
      <w:r>
        <w:t xml:space="preserve">, </w:t>
      </w:r>
      <w:r>
        <w:rPr>
          <w:i/>
        </w:rPr>
        <w:t>ctree</w:t>
      </w:r>
      <w:r>
        <w:t xml:space="preserve">, </w:t>
      </w:r>
      <w:r>
        <w:rPr>
          <w:i/>
        </w:rPr>
        <w:t>REEM</w:t>
      </w:r>
      <w:r>
        <w:t>, CHAID, and Entropy</w:t>
      </w:r>
      <w:r w:rsidR="00FD726B">
        <w:t>; the former three are R packages or part of R packages</w:t>
      </w:r>
      <w:r w:rsidR="006A39DA">
        <w:t>,</w:t>
      </w:r>
      <w:r w:rsidR="00FD726B">
        <w:t xml:space="preserve"> and the latter </w:t>
      </w:r>
      <w:r w:rsidR="00E528F7">
        <w:t xml:space="preserve">two </w:t>
      </w:r>
      <w:r w:rsidR="00FD726B">
        <w:t>are called by the HPSPLIT procedure in SAS</w:t>
      </w:r>
      <w:r>
        <w:t>.</w:t>
      </w:r>
    </w:p>
    <w:p w14:paraId="33A69E80" w14:textId="77777777" w:rsidR="0081736B" w:rsidRDefault="0081736B" w:rsidP="00FA0A8F">
      <w:pPr>
        <w:pStyle w:val="L1-FlLSp12"/>
      </w:pPr>
    </w:p>
    <w:p w14:paraId="2A957C83" w14:textId="3FDED846" w:rsidR="00E528F7" w:rsidRDefault="00E528F7" w:rsidP="00187916">
      <w:pPr>
        <w:pStyle w:val="L1-FlLSp12"/>
      </w:pPr>
      <w:r>
        <w:t xml:space="preserve">Under the stratified SRS in Cecere et al. (2020), </w:t>
      </w:r>
      <w:r>
        <w:rPr>
          <w:i/>
        </w:rPr>
        <w:t>ctree</w:t>
      </w:r>
      <w:r>
        <w:t xml:space="preserve"> stood out as the algorithm that produced the smallest relative bias and RRMSE for all outcomes compared to the other algorithms. Under the cluster design in Jones et al. (2021), the results were mixed</w:t>
      </w:r>
      <w:r w:rsidR="00187916">
        <w:t>;</w:t>
      </w:r>
      <w:r>
        <w:t xml:space="preserve"> </w:t>
      </w:r>
      <w:r w:rsidR="00187916">
        <w:t xml:space="preserve">for a high-response scenario, all the methods performed well at reducing nonresponse bias, with the </w:t>
      </w:r>
      <w:r w:rsidR="00187916" w:rsidRPr="00A57230">
        <w:rPr>
          <w:i/>
        </w:rPr>
        <w:t>ctree</w:t>
      </w:r>
      <w:r w:rsidR="00187916">
        <w:t xml:space="preserve"> algorithm performing slightly better than the rest; for a </w:t>
      </w:r>
      <w:r>
        <w:t>low</w:t>
      </w:r>
      <w:r w:rsidR="00187916">
        <w:t>-</w:t>
      </w:r>
      <w:r>
        <w:t xml:space="preserve">response </w:t>
      </w:r>
      <w:r w:rsidR="00187916">
        <w:t>scenario</w:t>
      </w:r>
      <w:r>
        <w:t xml:space="preserve"> there was no consistent </w:t>
      </w:r>
      <w:r w:rsidR="00600ACE">
        <w:t>“</w:t>
      </w:r>
      <w:r w:rsidR="00187916">
        <w:t>winner</w:t>
      </w:r>
      <w:r w:rsidR="00047AC2">
        <w:t>.</w:t>
      </w:r>
      <w:r w:rsidR="00600ACE">
        <w:t>”</w:t>
      </w:r>
      <w:r w:rsidR="00187916">
        <w:t xml:space="preserve"> </w:t>
      </w:r>
      <w:r w:rsidR="009B7F4F">
        <w:t>Under the stratified SRS in Lin et al. (2022), f</w:t>
      </w:r>
      <w:r w:rsidR="00187916">
        <w:t xml:space="preserve">or the high-response scenario, when response propensity </w:t>
      </w:r>
      <w:r w:rsidR="004069B5">
        <w:t>was</w:t>
      </w:r>
      <w:r w:rsidR="00187916">
        <w:t xml:space="preserve"> not correlated to </w:t>
      </w:r>
      <w:r w:rsidR="00187916" w:rsidRPr="00001736">
        <w:t>the auxiliary predictor</w:t>
      </w:r>
      <w:r w:rsidR="000303F6">
        <w:t>,</w:t>
      </w:r>
      <w:r w:rsidR="00187916">
        <w:t xml:space="preserve"> all R package algorithms effectively reduced nonresponse bias while SAS options were less successful.</w:t>
      </w:r>
      <w:r>
        <w:t xml:space="preserve"> </w:t>
      </w:r>
      <w:r w:rsidR="00127E71">
        <w:t xml:space="preserve">When response propensity </w:t>
      </w:r>
      <w:r w:rsidR="004069B5">
        <w:t>was</w:t>
      </w:r>
      <w:r w:rsidR="00127E71">
        <w:t xml:space="preserve"> highly correlated to the auxiliary predictor, the three R package algorithms remain</w:t>
      </w:r>
      <w:r w:rsidR="004069B5">
        <w:t>ed</w:t>
      </w:r>
      <w:r w:rsidR="00127E71">
        <w:t xml:space="preserve"> effective when the outcome estimate </w:t>
      </w:r>
      <w:r w:rsidR="004069B5">
        <w:t>was</w:t>
      </w:r>
      <w:r w:rsidR="00127E71">
        <w:t xml:space="preserve"> not correlated to </w:t>
      </w:r>
      <w:r w:rsidR="004069B5" w:rsidRPr="00001736">
        <w:t>our</w:t>
      </w:r>
      <w:r w:rsidR="00127E71" w:rsidRPr="00001736">
        <w:t xml:space="preserve"> auxiliary predictor.</w:t>
      </w:r>
      <w:r w:rsidR="00127E71">
        <w:t xml:space="preserve"> </w:t>
      </w:r>
      <w:r w:rsidR="009B7F4F">
        <w:t>W</w:t>
      </w:r>
      <w:r w:rsidR="00127E71">
        <w:t xml:space="preserve">hen the outcome estimate </w:t>
      </w:r>
      <w:r w:rsidR="004069B5">
        <w:t>was</w:t>
      </w:r>
      <w:r w:rsidR="00127E71">
        <w:t xml:space="preserve"> correlated to the auxiliary predictor, </w:t>
      </w:r>
      <w:r w:rsidR="00127E71" w:rsidRPr="00127E71">
        <w:rPr>
          <w:i/>
          <w:iCs/>
        </w:rPr>
        <w:t>ctree</w:t>
      </w:r>
      <w:r w:rsidR="00127E71">
        <w:t xml:space="preserve"> and </w:t>
      </w:r>
      <w:r w:rsidR="00127E71" w:rsidRPr="00127E71">
        <w:rPr>
          <w:i/>
          <w:iCs/>
        </w:rPr>
        <w:t>rpms</w:t>
      </w:r>
      <w:r w:rsidR="00127E71">
        <w:t xml:space="preserve"> still </w:t>
      </w:r>
      <w:r w:rsidR="000303F6">
        <w:t>produc</w:t>
      </w:r>
      <w:r w:rsidR="009B7F4F">
        <w:t>ed</w:t>
      </w:r>
      <w:r w:rsidR="000303F6">
        <w:t xml:space="preserve"> favorable relative root mean square error </w:t>
      </w:r>
      <w:r w:rsidR="009B7F4F">
        <w:t>I</w:t>
      </w:r>
      <w:r w:rsidR="00D14287">
        <w:t>n the low-response scenario in our simulation</w:t>
      </w:r>
      <w:r w:rsidR="006A39DA">
        <w:t>—</w:t>
      </w:r>
      <w:r w:rsidR="00D14287" w:rsidRPr="00D14287">
        <w:rPr>
          <w:i/>
          <w:iCs/>
        </w:rPr>
        <w:t>ctree</w:t>
      </w:r>
      <w:r w:rsidR="00D14287">
        <w:t xml:space="preserve"> and </w:t>
      </w:r>
      <w:r w:rsidR="00D14287" w:rsidRPr="00D14287">
        <w:rPr>
          <w:i/>
          <w:iCs/>
        </w:rPr>
        <w:t>rpms</w:t>
      </w:r>
      <w:r w:rsidR="00D14287">
        <w:t xml:space="preserve"> continue to produce reasonable results</w:t>
      </w:r>
      <w:r w:rsidR="009B7F4F">
        <w:t>. For all three of these studies, there were minimal differences between weighted and unweighted analyses for relative bias and RRMSE for both outcome variables</w:t>
      </w:r>
      <w:r w:rsidR="00B6098D">
        <w:t>.</w:t>
      </w:r>
    </w:p>
    <w:p w14:paraId="259377FF" w14:textId="256F2D5B" w:rsidR="009B7F4F" w:rsidRDefault="009B7F4F" w:rsidP="00187916">
      <w:pPr>
        <w:pStyle w:val="L1-FlLSp12"/>
      </w:pPr>
    </w:p>
    <w:p w14:paraId="352BCCFB" w14:textId="631BBC4F" w:rsidR="009B7F4F" w:rsidRDefault="009B7F4F" w:rsidP="00187916">
      <w:pPr>
        <w:pStyle w:val="L1-FlLSp12"/>
      </w:pPr>
      <w:r>
        <w:t>For this study, under a clustered design, when considering the high response rate scenario,</w:t>
      </w:r>
      <w:r w:rsidR="00665898">
        <w:t xml:space="preserve"> there is little difference among the algorithms except where either the response propensity or outcome variable </w:t>
      </w:r>
      <w:r w:rsidR="006A39DA">
        <w:t xml:space="preserve">is </w:t>
      </w:r>
      <w:r w:rsidR="00665898">
        <w:t>highly correlated with the auxiliary variables. Overall,</w:t>
      </w:r>
      <w:r>
        <w:t xml:space="preserve"> the CTREE algorithm was most successful and consistent in reducing bias associated with nonresponse compared to the other a</w:t>
      </w:r>
      <w:r w:rsidR="00665898">
        <w:t>lgorithms considered</w:t>
      </w:r>
      <w:r w:rsidR="006A39DA">
        <w:t>,</w:t>
      </w:r>
      <w:r w:rsidR="00665898">
        <w:t xml:space="preserve"> and t</w:t>
      </w:r>
      <w:r>
        <w:t>he REEM</w:t>
      </w:r>
      <w:r w:rsidR="00665898">
        <w:t xml:space="preserve"> algorithm also performed well. The use of design weights in the tree algorithm did not appear to have an impact.</w:t>
      </w:r>
    </w:p>
    <w:p w14:paraId="02178C32" w14:textId="5C6A0579" w:rsidR="00665898" w:rsidRDefault="00665898" w:rsidP="00187916">
      <w:pPr>
        <w:pStyle w:val="L1-FlLSp12"/>
      </w:pPr>
    </w:p>
    <w:p w14:paraId="6A60CC59" w14:textId="4F19ECA6" w:rsidR="00665898" w:rsidRDefault="00665898" w:rsidP="00187916">
      <w:pPr>
        <w:pStyle w:val="L1-FlLSp12"/>
      </w:pPr>
      <w:r>
        <w:t>When considering the low</w:t>
      </w:r>
      <w:r w:rsidR="007F2841">
        <w:t>-</w:t>
      </w:r>
      <w:r>
        <w:t>response rate scenario, the choice of algorithm is more crucial. In this scenario there is more nonresponse bias in the design weights and thus more adjustment is required than with the low</w:t>
      </w:r>
      <w:r w:rsidR="007F2841">
        <w:t>-</w:t>
      </w:r>
      <w:r>
        <w:t xml:space="preserve">response rate scenario. </w:t>
      </w:r>
      <w:r w:rsidR="006A39DA">
        <w:t>Again,</w:t>
      </w:r>
      <w:r>
        <w:t xml:space="preserve"> in this setting, the CTREE algorithm was the most successful and consistent in reducing the bias associated with nonresponse compared to the other algorithms considered, followed by entropy and REEM.</w:t>
      </w:r>
      <w:r w:rsidR="001223AF">
        <w:t xml:space="preserve"> Again, the use of design </w:t>
      </w:r>
      <w:r w:rsidR="001223AF" w:rsidRPr="006A39DA">
        <w:t>weights</w:t>
      </w:r>
      <w:r w:rsidR="001223AF">
        <w:t xml:space="preserve"> in the tree algorithm did not appear to have an impact.</w:t>
      </w:r>
    </w:p>
    <w:p w14:paraId="4098574D" w14:textId="7E9B8264" w:rsidR="001223AF" w:rsidRDefault="001223AF" w:rsidP="00187916">
      <w:pPr>
        <w:pStyle w:val="L1-FlLSp12"/>
      </w:pPr>
    </w:p>
    <w:p w14:paraId="587D12DC" w14:textId="6327648D" w:rsidR="002B51B0" w:rsidRPr="001223AF" w:rsidRDefault="001223AF" w:rsidP="00187916">
      <w:pPr>
        <w:pStyle w:val="L1-FlLSp12"/>
      </w:pPr>
      <w:r>
        <w:t>Our result</w:t>
      </w:r>
      <w:r w:rsidR="006A39DA">
        <w:t>—</w:t>
      </w:r>
      <w:r>
        <w:t>that the use of design weights in the tree algorithms when creating weighting class cells to adjust for nonresponse do</w:t>
      </w:r>
      <w:r w:rsidR="006A39DA">
        <w:t>es</w:t>
      </w:r>
      <w:r>
        <w:t xml:space="preserve"> not have an impact on the reduction of nonresponse bias</w:t>
      </w:r>
      <w:r w:rsidR="006A39DA">
        <w:t>—</w:t>
      </w:r>
      <w:r>
        <w:t>agrees with the recommendation of Lohr et al. (2015) in that weights do not provide a benefit when modeling response propensity. However, this could also be an indicator of the fact that except for RPMS, none of the tree classification models properly account for complex survey designs in their models. The S-CHAID R package is in development. This is a recursive partitioning algorithm that aims to properly acco</w:t>
      </w:r>
      <w:r w:rsidR="002B51B0">
        <w:t>unt for complex survey design. We will include this package in our future research.</w:t>
      </w:r>
    </w:p>
    <w:p w14:paraId="7E140DC8" w14:textId="77777777" w:rsidR="00E528F7" w:rsidRDefault="00E528F7" w:rsidP="00FA0A8F">
      <w:pPr>
        <w:pStyle w:val="L1-FlLSp12"/>
      </w:pPr>
    </w:p>
    <w:p w14:paraId="246D3DF3" w14:textId="3D2EC39D" w:rsidR="001223AF" w:rsidRDefault="004C1D2F" w:rsidP="00FA0A8F">
      <w:pPr>
        <w:pStyle w:val="L1-FlLSp12"/>
      </w:pPr>
      <w:r>
        <w:t xml:space="preserve">Simulation results may be different for </w:t>
      </w:r>
      <w:r w:rsidR="00A57230">
        <w:t>other</w:t>
      </w:r>
      <w:r>
        <w:t xml:space="preserve"> sample designs</w:t>
      </w:r>
      <w:r w:rsidR="001223AF">
        <w:t xml:space="preserve"> or under different simulation conditions. We will continue our research examining additional simulation scenarios. </w:t>
      </w:r>
    </w:p>
    <w:p w14:paraId="0B75F0C2" w14:textId="77777777" w:rsidR="001223AF" w:rsidRDefault="001223AF" w:rsidP="00FA0A8F">
      <w:pPr>
        <w:pStyle w:val="L1-FlLSp12"/>
      </w:pPr>
    </w:p>
    <w:p w14:paraId="17FE73DF" w14:textId="40770421" w:rsidR="00767E3F" w:rsidRDefault="001223AF" w:rsidP="00FA0A8F">
      <w:pPr>
        <w:pStyle w:val="L1-FlLSp12"/>
      </w:pPr>
      <w:r>
        <w:t>A</w:t>
      </w:r>
      <w:r w:rsidR="004C1D2F">
        <w:t xml:space="preserve"> limitation </w:t>
      </w:r>
      <w:r w:rsidR="00A832CA">
        <w:t>of</w:t>
      </w:r>
      <w:r w:rsidR="004C1D2F">
        <w:t xml:space="preserve"> our simulation study is</w:t>
      </w:r>
      <w:r w:rsidR="002943DF">
        <w:t xml:space="preserve"> that statistical tests were not conducted comparing </w:t>
      </w:r>
      <w:r w:rsidR="00047AC2">
        <w:t xml:space="preserve">the </w:t>
      </w:r>
      <w:r w:rsidR="002943DF">
        <w:t xml:space="preserve">results of the various software packages. Additionally, the number of simulations is only 5,000, which </w:t>
      </w:r>
      <w:r w:rsidR="002240CE">
        <w:t xml:space="preserve">limits </w:t>
      </w:r>
      <w:r w:rsidR="002943DF">
        <w:t>the ability to make</w:t>
      </w:r>
      <w:r w:rsidR="002240CE">
        <w:t xml:space="preserve"> precise</w:t>
      </w:r>
      <w:r w:rsidR="002943DF">
        <w:t xml:space="preserve"> inference</w:t>
      </w:r>
      <w:r w:rsidR="00C9617A">
        <w:t>s about the results</w:t>
      </w:r>
      <w:r w:rsidR="002943DF">
        <w:t>.</w:t>
      </w:r>
    </w:p>
    <w:p w14:paraId="28F59F58" w14:textId="71EEB341" w:rsidR="003E2465" w:rsidRDefault="003E2465" w:rsidP="00FA0A8F">
      <w:pPr>
        <w:pStyle w:val="L1-FlLSp12"/>
      </w:pPr>
    </w:p>
    <w:p w14:paraId="7168D117" w14:textId="785CC5DB" w:rsidR="00767E3F" w:rsidRDefault="004C1D2F" w:rsidP="00FA0A8F">
      <w:pPr>
        <w:pStyle w:val="C1-CtrBoldHd"/>
      </w:pPr>
      <w:r>
        <w:t>Acknowledgments</w:t>
      </w:r>
    </w:p>
    <w:p w14:paraId="3D5EA599" w14:textId="087CF6A4" w:rsidR="00767E3F" w:rsidRDefault="004C1D2F" w:rsidP="00FA0A8F">
      <w:pPr>
        <w:pStyle w:val="L1-FlLSp12"/>
      </w:pPr>
      <w:r>
        <w:t>The authors are grateful to</w:t>
      </w:r>
      <w:r w:rsidR="00250CE5">
        <w:t xml:space="preserve"> </w:t>
      </w:r>
      <w:r w:rsidR="00312767">
        <w:t>Jean Ops</w:t>
      </w:r>
      <w:r w:rsidR="00250CE5">
        <w:t>o</w:t>
      </w:r>
      <w:r w:rsidR="00312767">
        <w:t>mer</w:t>
      </w:r>
      <w:r>
        <w:t xml:space="preserve"> for </w:t>
      </w:r>
      <w:r w:rsidR="00816956">
        <w:t>his</w:t>
      </w:r>
      <w:r>
        <w:t xml:space="preserve"> insightful suggestions.</w:t>
      </w:r>
    </w:p>
    <w:p w14:paraId="05F48112" w14:textId="77777777" w:rsidR="00572245" w:rsidRDefault="00572245" w:rsidP="00572245">
      <w:pPr>
        <w:pStyle w:val="L1-FlLSp12"/>
      </w:pPr>
    </w:p>
    <w:p w14:paraId="6DAA9CBA" w14:textId="2A40206F" w:rsidR="00767E3F" w:rsidRDefault="004C1D2F" w:rsidP="00FA0A8F">
      <w:pPr>
        <w:pStyle w:val="C1-CtrBoldHd"/>
      </w:pPr>
      <w:bookmarkStart w:id="1" w:name="_Toc21848811"/>
      <w:bookmarkStart w:id="2" w:name="_Toc24434173"/>
      <w:r>
        <w:t>References</w:t>
      </w:r>
      <w:bookmarkEnd w:id="1"/>
      <w:bookmarkEnd w:id="2"/>
    </w:p>
    <w:p w14:paraId="7CC84D7C" w14:textId="4F25AAC9" w:rsidR="00767E3F" w:rsidRDefault="004C1D2F" w:rsidP="00F1183F">
      <w:pPr>
        <w:pStyle w:val="N0-FlLftBullet"/>
      </w:pPr>
      <w:r>
        <w:t>Breiman, L., Friedman, J. H., Olshen, R. A., and Stone, C. J. (1984)</w:t>
      </w:r>
      <w:r w:rsidR="00637861">
        <w:t>,</w:t>
      </w:r>
      <w:r>
        <w:t xml:space="preserve"> </w:t>
      </w:r>
      <w:r>
        <w:rPr>
          <w:i/>
        </w:rPr>
        <w:t>Classification and Regression Trees</w:t>
      </w:r>
      <w:r w:rsidR="00C40EB5">
        <w:rPr>
          <w:i/>
        </w:rPr>
        <w:t>,</w:t>
      </w:r>
      <w:r>
        <w:rPr>
          <w:i/>
        </w:rPr>
        <w:t xml:space="preserve"> </w:t>
      </w:r>
      <w:r>
        <w:t>Belmont, CA: Wadsworth.</w:t>
      </w:r>
    </w:p>
    <w:p w14:paraId="2B51936C" w14:textId="60FC321B" w:rsidR="00767E3F" w:rsidRDefault="004C1D2F" w:rsidP="00FA0A8F">
      <w:pPr>
        <w:pStyle w:val="N0-FlLftBullet"/>
      </w:pPr>
      <w:r>
        <w:t>Brick, J. M., and Montaquila, J. (2009)</w:t>
      </w:r>
      <w:r w:rsidR="00C40EB5">
        <w:t>,</w:t>
      </w:r>
      <w:r>
        <w:t xml:space="preserve"> </w:t>
      </w:r>
      <w:r w:rsidR="00600ACE">
        <w:t>“</w:t>
      </w:r>
      <w:r>
        <w:t>Nonresponse and Weighting</w:t>
      </w:r>
      <w:r w:rsidR="00C40EB5">
        <w:t>,</w:t>
      </w:r>
      <w:r w:rsidR="00600ACE">
        <w:t>”</w:t>
      </w:r>
      <w:r>
        <w:t xml:space="preserve"> </w:t>
      </w:r>
      <w:r w:rsidR="00C40EB5">
        <w:t>i</w:t>
      </w:r>
      <w:r>
        <w:t>n D. Pfeffermann and C.</w:t>
      </w:r>
      <w:r w:rsidR="00C40EB5">
        <w:t xml:space="preserve"> </w:t>
      </w:r>
      <w:r>
        <w:t xml:space="preserve">R. Rao (eds.), </w:t>
      </w:r>
      <w:r w:rsidRPr="001A7A3B">
        <w:rPr>
          <w:i/>
        </w:rPr>
        <w:t>Handbook of Statistics, Vol. 29A. Sample Surveys: Design, Methods, and Applications</w:t>
      </w:r>
      <w:r>
        <w:t>. Amsterdam: Elsevier,</w:t>
      </w:r>
      <w:r w:rsidR="0000210D">
        <w:t xml:space="preserve"> </w:t>
      </w:r>
      <w:r>
        <w:t>163-185</w:t>
      </w:r>
      <w:r w:rsidR="0096595F">
        <w:t>,</w:t>
      </w:r>
      <w:r w:rsidR="00C40EB5">
        <w:t xml:space="preserve"> DOI: </w:t>
      </w:r>
      <w:r w:rsidR="00C40EB5" w:rsidRPr="00C40EB5">
        <w:t>10.1016/S0169-7161(08)00008-4</w:t>
      </w:r>
      <w:r w:rsidR="00C40EB5">
        <w:t>.</w:t>
      </w:r>
    </w:p>
    <w:p w14:paraId="4AB38E7B" w14:textId="2237F29E" w:rsidR="00FD1CA9" w:rsidRPr="00AF3DFF" w:rsidRDefault="00FD1CA9" w:rsidP="00FD1CA9">
      <w:pPr>
        <w:pStyle w:val="N0-FlLftBullet"/>
        <w:rPr>
          <w:szCs w:val="22"/>
        </w:rPr>
      </w:pPr>
      <w:r>
        <w:t>Cecere, W., Lin, T.</w:t>
      </w:r>
      <w:r w:rsidR="00C40EB5">
        <w:t xml:space="preserve"> </w:t>
      </w:r>
      <w:r>
        <w:t xml:space="preserve">H., </w:t>
      </w:r>
      <w:r w:rsidR="009E158B">
        <w:t xml:space="preserve">Jones, M., Kali, J., and </w:t>
      </w:r>
      <w:r>
        <w:t>Flores Cervantes, I. (2020)</w:t>
      </w:r>
      <w:r w:rsidR="00C40EB5">
        <w:t>,</w:t>
      </w:r>
      <w:r>
        <w:t xml:space="preserve"> </w:t>
      </w:r>
      <w:r w:rsidR="00600ACE">
        <w:t>“</w:t>
      </w:r>
      <w:r w:rsidRPr="00FD1CA9">
        <w:t>A Comparison of Classification and Regression Tree Methodologies When Modeling Survey Nonresponse</w:t>
      </w:r>
      <w:r w:rsidR="00C40EB5">
        <w:t>,</w:t>
      </w:r>
      <w:r w:rsidR="00600ACE">
        <w:t>”</w:t>
      </w:r>
      <w:r w:rsidR="00C40EB5">
        <w:t xml:space="preserve"> </w:t>
      </w:r>
      <w:r w:rsidR="00361B3D">
        <w:t>i</w:t>
      </w:r>
      <w:r w:rsidR="00C40EB5">
        <w:t>n American Statistical Association</w:t>
      </w:r>
      <w:r w:rsidR="00E6668A">
        <w:t xml:space="preserve"> </w:t>
      </w:r>
      <w:r w:rsidRPr="00FD1CA9">
        <w:rPr>
          <w:i/>
        </w:rPr>
        <w:t>Proceedings of the Survey Research Methods Section</w:t>
      </w:r>
      <w:r w:rsidR="00D7150A" w:rsidRPr="00D7150A">
        <w:t xml:space="preserve">, </w:t>
      </w:r>
      <w:r w:rsidR="00C40EB5">
        <w:t xml:space="preserve">pp. </w:t>
      </w:r>
      <w:r w:rsidR="00D7150A" w:rsidRPr="00D7150A">
        <w:t>577-585</w:t>
      </w:r>
      <w:r w:rsidRPr="00FD1CA9">
        <w:t>.</w:t>
      </w:r>
      <w:r w:rsidR="00C40EB5">
        <w:t xml:space="preserve"> </w:t>
      </w:r>
    </w:p>
    <w:p w14:paraId="71F93A96" w14:textId="7621D27D" w:rsidR="00AF3DFF" w:rsidRPr="00AF3DFF" w:rsidRDefault="00AF3DFF" w:rsidP="00FA0A8F">
      <w:pPr>
        <w:pStyle w:val="N0-FlLftBullet"/>
        <w:rPr>
          <w:color w:val="000000"/>
          <w:szCs w:val="22"/>
          <w:shd w:val="clear" w:color="auto" w:fill="FFFFFF"/>
        </w:rPr>
      </w:pPr>
      <w:r w:rsidRPr="00AF3DFF">
        <w:rPr>
          <w:color w:val="000000"/>
          <w:szCs w:val="22"/>
          <w:shd w:val="clear" w:color="auto" w:fill="FFFFFF"/>
        </w:rPr>
        <w:t>Hothorn</w:t>
      </w:r>
      <w:r w:rsidR="006D0AA7">
        <w:rPr>
          <w:color w:val="000000"/>
          <w:szCs w:val="22"/>
          <w:shd w:val="clear" w:color="auto" w:fill="FFFFFF"/>
        </w:rPr>
        <w:t>,</w:t>
      </w:r>
      <w:r w:rsidRPr="00AF3DFF">
        <w:rPr>
          <w:color w:val="000000"/>
          <w:szCs w:val="22"/>
          <w:shd w:val="clear" w:color="auto" w:fill="FFFFFF"/>
        </w:rPr>
        <w:t xml:space="preserve"> T</w:t>
      </w:r>
      <w:r w:rsidR="006D0AA7">
        <w:rPr>
          <w:color w:val="000000"/>
          <w:szCs w:val="22"/>
          <w:shd w:val="clear" w:color="auto" w:fill="FFFFFF"/>
        </w:rPr>
        <w:t>.</w:t>
      </w:r>
      <w:r w:rsidRPr="00AF3DFF">
        <w:rPr>
          <w:color w:val="000000"/>
          <w:szCs w:val="22"/>
          <w:shd w:val="clear" w:color="auto" w:fill="FFFFFF"/>
        </w:rPr>
        <w:t>, Hornik</w:t>
      </w:r>
      <w:r w:rsidR="006D0AA7">
        <w:rPr>
          <w:color w:val="000000"/>
          <w:szCs w:val="22"/>
          <w:shd w:val="clear" w:color="auto" w:fill="FFFFFF"/>
        </w:rPr>
        <w:t>,</w:t>
      </w:r>
      <w:r w:rsidRPr="00AF3DFF">
        <w:rPr>
          <w:color w:val="000000"/>
          <w:szCs w:val="22"/>
          <w:shd w:val="clear" w:color="auto" w:fill="FFFFFF"/>
        </w:rPr>
        <w:t xml:space="preserve"> K</w:t>
      </w:r>
      <w:r w:rsidR="006D0AA7">
        <w:rPr>
          <w:color w:val="000000"/>
          <w:szCs w:val="22"/>
          <w:shd w:val="clear" w:color="auto" w:fill="FFFFFF"/>
        </w:rPr>
        <w:t>.</w:t>
      </w:r>
      <w:r w:rsidRPr="00AF3DFF">
        <w:rPr>
          <w:color w:val="000000"/>
          <w:szCs w:val="22"/>
          <w:shd w:val="clear" w:color="auto" w:fill="FFFFFF"/>
        </w:rPr>
        <w:t xml:space="preserve">, </w:t>
      </w:r>
      <w:r w:rsidR="006D0AA7">
        <w:rPr>
          <w:color w:val="000000"/>
          <w:szCs w:val="22"/>
          <w:shd w:val="clear" w:color="auto" w:fill="FFFFFF"/>
        </w:rPr>
        <w:t xml:space="preserve">and </w:t>
      </w:r>
      <w:r w:rsidRPr="00AF3DFF">
        <w:rPr>
          <w:color w:val="000000"/>
          <w:szCs w:val="22"/>
          <w:shd w:val="clear" w:color="auto" w:fill="FFFFFF"/>
        </w:rPr>
        <w:t>Zeileis</w:t>
      </w:r>
      <w:r w:rsidR="006D0AA7">
        <w:rPr>
          <w:color w:val="000000"/>
          <w:szCs w:val="22"/>
          <w:shd w:val="clear" w:color="auto" w:fill="FFFFFF"/>
        </w:rPr>
        <w:t>,</w:t>
      </w:r>
      <w:r w:rsidRPr="00AF3DFF">
        <w:rPr>
          <w:color w:val="000000"/>
          <w:szCs w:val="22"/>
          <w:shd w:val="clear" w:color="auto" w:fill="FFFFFF"/>
        </w:rPr>
        <w:t xml:space="preserve"> A</w:t>
      </w:r>
      <w:r w:rsidR="006D0AA7">
        <w:rPr>
          <w:color w:val="000000"/>
          <w:szCs w:val="22"/>
          <w:shd w:val="clear" w:color="auto" w:fill="FFFFFF"/>
        </w:rPr>
        <w:t>.</w:t>
      </w:r>
      <w:r w:rsidRPr="00AF3DFF">
        <w:rPr>
          <w:color w:val="000000"/>
          <w:szCs w:val="22"/>
          <w:shd w:val="clear" w:color="auto" w:fill="FFFFFF"/>
        </w:rPr>
        <w:t xml:space="preserve"> (2006)</w:t>
      </w:r>
      <w:r w:rsidR="00C40EB5">
        <w:rPr>
          <w:color w:val="000000"/>
          <w:szCs w:val="22"/>
          <w:shd w:val="clear" w:color="auto" w:fill="FFFFFF"/>
        </w:rPr>
        <w:t>,</w:t>
      </w:r>
      <w:r w:rsidRPr="00AF3DFF">
        <w:rPr>
          <w:color w:val="000000"/>
          <w:szCs w:val="22"/>
          <w:shd w:val="clear" w:color="auto" w:fill="FFFFFF"/>
        </w:rPr>
        <w:t xml:space="preserve"> </w:t>
      </w:r>
      <w:r w:rsidR="00600ACE">
        <w:rPr>
          <w:color w:val="000000"/>
          <w:szCs w:val="22"/>
          <w:shd w:val="clear" w:color="auto" w:fill="FFFFFF"/>
        </w:rPr>
        <w:t>“</w:t>
      </w:r>
      <w:r w:rsidRPr="00AF3DFF">
        <w:rPr>
          <w:color w:val="000000"/>
          <w:szCs w:val="22"/>
          <w:shd w:val="clear" w:color="auto" w:fill="FFFFFF"/>
        </w:rPr>
        <w:t>Unbiased Recursive Partitioning: A Conditional Inference Framework</w:t>
      </w:r>
      <w:r w:rsidR="00C40EB5">
        <w:rPr>
          <w:color w:val="000000"/>
          <w:szCs w:val="22"/>
          <w:shd w:val="clear" w:color="auto" w:fill="FFFFFF"/>
        </w:rPr>
        <w:t>,</w:t>
      </w:r>
      <w:r w:rsidR="00600ACE">
        <w:rPr>
          <w:color w:val="000000"/>
          <w:szCs w:val="22"/>
          <w:shd w:val="clear" w:color="auto" w:fill="FFFFFF"/>
        </w:rPr>
        <w:t>”</w:t>
      </w:r>
      <w:r w:rsidR="00D234CF">
        <w:rPr>
          <w:color w:val="000000"/>
          <w:szCs w:val="22"/>
          <w:shd w:val="clear" w:color="auto" w:fill="FFFFFF"/>
        </w:rPr>
        <w:t xml:space="preserve"> </w:t>
      </w:r>
      <w:r w:rsidRPr="00AF3DFF">
        <w:rPr>
          <w:rStyle w:val="Emphasis"/>
          <w:color w:val="000000"/>
          <w:szCs w:val="22"/>
          <w:shd w:val="clear" w:color="auto" w:fill="FFFFFF"/>
        </w:rPr>
        <w:t>Journal of Computational and Graphical Statistics</w:t>
      </w:r>
      <w:r w:rsidRPr="00AF3DFF">
        <w:rPr>
          <w:color w:val="000000"/>
          <w:szCs w:val="22"/>
          <w:shd w:val="clear" w:color="auto" w:fill="FFFFFF"/>
        </w:rPr>
        <w:t>,</w:t>
      </w:r>
      <w:r w:rsidR="00D234CF">
        <w:rPr>
          <w:color w:val="000000"/>
          <w:szCs w:val="22"/>
          <w:shd w:val="clear" w:color="auto" w:fill="FFFFFF"/>
        </w:rPr>
        <w:t xml:space="preserve"> </w:t>
      </w:r>
      <w:r w:rsidRPr="00C40EB5">
        <w:rPr>
          <w:bCs/>
          <w:color w:val="000000"/>
          <w:szCs w:val="22"/>
          <w:shd w:val="clear" w:color="auto" w:fill="FFFFFF"/>
        </w:rPr>
        <w:t>15</w:t>
      </w:r>
      <w:r w:rsidRPr="00AF3DFF">
        <w:rPr>
          <w:color w:val="000000"/>
          <w:szCs w:val="22"/>
          <w:shd w:val="clear" w:color="auto" w:fill="FFFFFF"/>
        </w:rPr>
        <w:t xml:space="preserve">(3), </w:t>
      </w:r>
      <w:r w:rsidR="00C40EB5">
        <w:rPr>
          <w:color w:val="000000"/>
          <w:szCs w:val="22"/>
          <w:shd w:val="clear" w:color="auto" w:fill="FFFFFF"/>
        </w:rPr>
        <w:t xml:space="preserve">pp. </w:t>
      </w:r>
      <w:r w:rsidRPr="00AF3DFF">
        <w:rPr>
          <w:color w:val="000000"/>
          <w:szCs w:val="22"/>
          <w:shd w:val="clear" w:color="auto" w:fill="FFFFFF"/>
        </w:rPr>
        <w:t>651–674</w:t>
      </w:r>
      <w:r w:rsidR="00C40EB5">
        <w:rPr>
          <w:color w:val="000000"/>
          <w:szCs w:val="22"/>
          <w:shd w:val="clear" w:color="auto" w:fill="FFFFFF"/>
        </w:rPr>
        <w:t xml:space="preserve">, DOI: </w:t>
      </w:r>
      <w:r w:rsidR="00C40EB5" w:rsidRPr="00C40EB5">
        <w:rPr>
          <w:color w:val="000000"/>
          <w:szCs w:val="22"/>
          <w:shd w:val="clear" w:color="auto" w:fill="FFFFFF"/>
        </w:rPr>
        <w:t>10.1198/106186006X133933</w:t>
      </w:r>
      <w:r w:rsidR="00C40EB5">
        <w:rPr>
          <w:color w:val="000000"/>
          <w:szCs w:val="22"/>
          <w:shd w:val="clear" w:color="auto" w:fill="FFFFFF"/>
        </w:rPr>
        <w:t>.</w:t>
      </w:r>
    </w:p>
    <w:p w14:paraId="57137773" w14:textId="789C6311" w:rsidR="00AF3DFF" w:rsidRPr="00AF3DFF" w:rsidRDefault="00AF3DFF" w:rsidP="00D234CF">
      <w:pPr>
        <w:pStyle w:val="N0-FlLftBullet"/>
        <w:jc w:val="left"/>
        <w:rPr>
          <w:szCs w:val="22"/>
        </w:rPr>
      </w:pPr>
      <w:r w:rsidRPr="00AF3DFF">
        <w:rPr>
          <w:color w:val="000000"/>
          <w:szCs w:val="22"/>
          <w:shd w:val="clear" w:color="auto" w:fill="FFFFFF"/>
        </w:rPr>
        <w:t>Hothorn</w:t>
      </w:r>
      <w:r w:rsidR="006D0AA7">
        <w:rPr>
          <w:color w:val="000000"/>
          <w:szCs w:val="22"/>
          <w:shd w:val="clear" w:color="auto" w:fill="FFFFFF"/>
        </w:rPr>
        <w:t>,</w:t>
      </w:r>
      <w:r w:rsidRPr="00AF3DFF">
        <w:rPr>
          <w:color w:val="000000"/>
          <w:szCs w:val="22"/>
          <w:shd w:val="clear" w:color="auto" w:fill="FFFFFF"/>
        </w:rPr>
        <w:t xml:space="preserve"> T</w:t>
      </w:r>
      <w:r w:rsidR="006D0AA7">
        <w:rPr>
          <w:color w:val="000000"/>
          <w:szCs w:val="22"/>
          <w:shd w:val="clear" w:color="auto" w:fill="FFFFFF"/>
        </w:rPr>
        <w:t>.</w:t>
      </w:r>
      <w:r w:rsidRPr="00AF3DFF">
        <w:rPr>
          <w:color w:val="000000"/>
          <w:szCs w:val="22"/>
          <w:shd w:val="clear" w:color="auto" w:fill="FFFFFF"/>
        </w:rPr>
        <w:t xml:space="preserve">, </w:t>
      </w:r>
      <w:r w:rsidR="006D0AA7">
        <w:rPr>
          <w:color w:val="000000"/>
          <w:szCs w:val="22"/>
          <w:shd w:val="clear" w:color="auto" w:fill="FFFFFF"/>
        </w:rPr>
        <w:t xml:space="preserve">and </w:t>
      </w:r>
      <w:r w:rsidRPr="00AF3DFF">
        <w:rPr>
          <w:color w:val="000000"/>
          <w:szCs w:val="22"/>
          <w:shd w:val="clear" w:color="auto" w:fill="FFFFFF"/>
        </w:rPr>
        <w:t>Zeileis</w:t>
      </w:r>
      <w:r w:rsidR="006D0AA7">
        <w:rPr>
          <w:color w:val="000000"/>
          <w:szCs w:val="22"/>
          <w:shd w:val="clear" w:color="auto" w:fill="FFFFFF"/>
        </w:rPr>
        <w:t>,</w:t>
      </w:r>
      <w:r w:rsidRPr="00AF3DFF">
        <w:rPr>
          <w:color w:val="000000"/>
          <w:szCs w:val="22"/>
          <w:shd w:val="clear" w:color="auto" w:fill="FFFFFF"/>
        </w:rPr>
        <w:t xml:space="preserve"> A</w:t>
      </w:r>
      <w:r w:rsidR="006D0AA7">
        <w:rPr>
          <w:color w:val="000000"/>
          <w:szCs w:val="22"/>
          <w:shd w:val="clear" w:color="auto" w:fill="FFFFFF"/>
        </w:rPr>
        <w:t>.</w:t>
      </w:r>
      <w:r w:rsidRPr="00AF3DFF">
        <w:rPr>
          <w:color w:val="000000"/>
          <w:szCs w:val="22"/>
          <w:shd w:val="clear" w:color="auto" w:fill="FFFFFF"/>
        </w:rPr>
        <w:t xml:space="preserve"> (2015)</w:t>
      </w:r>
      <w:r w:rsidR="00C40EB5">
        <w:rPr>
          <w:color w:val="000000"/>
          <w:szCs w:val="22"/>
          <w:shd w:val="clear" w:color="auto" w:fill="FFFFFF"/>
        </w:rPr>
        <w:t>,</w:t>
      </w:r>
      <w:r w:rsidRPr="00AF3DFF">
        <w:rPr>
          <w:color w:val="000000"/>
          <w:szCs w:val="22"/>
          <w:shd w:val="clear" w:color="auto" w:fill="FFFFFF"/>
        </w:rPr>
        <w:t xml:space="preserve"> </w:t>
      </w:r>
      <w:r w:rsidR="00600ACE">
        <w:rPr>
          <w:color w:val="000000"/>
          <w:szCs w:val="22"/>
          <w:shd w:val="clear" w:color="auto" w:fill="FFFFFF"/>
        </w:rPr>
        <w:t>“</w:t>
      </w:r>
      <w:r w:rsidRPr="00AF3DFF">
        <w:rPr>
          <w:color w:val="000000"/>
          <w:szCs w:val="22"/>
          <w:shd w:val="clear" w:color="auto" w:fill="FFFFFF"/>
        </w:rPr>
        <w:t>partykit: A Modular Toolkit for Recursive Partytioning in R</w:t>
      </w:r>
      <w:r w:rsidR="00C40EB5">
        <w:rPr>
          <w:color w:val="000000"/>
          <w:szCs w:val="22"/>
          <w:shd w:val="clear" w:color="auto" w:fill="FFFFFF"/>
        </w:rPr>
        <w:t>,</w:t>
      </w:r>
      <w:r w:rsidR="00600ACE">
        <w:rPr>
          <w:color w:val="000000"/>
          <w:szCs w:val="22"/>
          <w:shd w:val="clear" w:color="auto" w:fill="FFFFFF"/>
        </w:rPr>
        <w:t>”</w:t>
      </w:r>
      <w:r w:rsidR="00D234CF">
        <w:rPr>
          <w:color w:val="000000"/>
          <w:szCs w:val="22"/>
          <w:shd w:val="clear" w:color="auto" w:fill="FFFFFF"/>
        </w:rPr>
        <w:t xml:space="preserve"> </w:t>
      </w:r>
      <w:r w:rsidRPr="00AF3DFF">
        <w:rPr>
          <w:rStyle w:val="Emphasis"/>
          <w:color w:val="000000"/>
          <w:szCs w:val="22"/>
          <w:shd w:val="clear" w:color="auto" w:fill="FFFFFF"/>
        </w:rPr>
        <w:t>Journal of Machine Learning Research</w:t>
      </w:r>
      <w:r w:rsidR="00D234CF">
        <w:rPr>
          <w:color w:val="000000"/>
          <w:szCs w:val="22"/>
          <w:shd w:val="clear" w:color="auto" w:fill="FFFFFF"/>
        </w:rPr>
        <w:t xml:space="preserve">, </w:t>
      </w:r>
      <w:r w:rsidRPr="00C40EB5">
        <w:rPr>
          <w:bCs/>
          <w:color w:val="000000"/>
          <w:szCs w:val="22"/>
          <w:shd w:val="clear" w:color="auto" w:fill="FFFFFF"/>
        </w:rPr>
        <w:t>16</w:t>
      </w:r>
      <w:r w:rsidRPr="00AF3DFF">
        <w:rPr>
          <w:color w:val="000000"/>
          <w:szCs w:val="22"/>
          <w:shd w:val="clear" w:color="auto" w:fill="FFFFFF"/>
        </w:rPr>
        <w:t>, 3905-3909</w:t>
      </w:r>
      <w:r w:rsidR="0096595F">
        <w:rPr>
          <w:color w:val="000000"/>
          <w:szCs w:val="22"/>
          <w:shd w:val="clear" w:color="auto" w:fill="FFFFFF"/>
        </w:rPr>
        <w:t>. Available at</w:t>
      </w:r>
      <w:r w:rsidR="00C40EB5">
        <w:rPr>
          <w:color w:val="000000"/>
          <w:szCs w:val="22"/>
          <w:shd w:val="clear" w:color="auto" w:fill="FFFFFF"/>
        </w:rPr>
        <w:t xml:space="preserve"> </w:t>
      </w:r>
      <w:hyperlink r:id="rId27" w:history="1">
        <w:r w:rsidRPr="00AF3DFF">
          <w:rPr>
            <w:rStyle w:val="Hyperlink"/>
            <w:szCs w:val="22"/>
            <w:shd w:val="clear" w:color="auto" w:fill="FFFFFF"/>
          </w:rPr>
          <w:t>https://jmlr.org/papers/v16/hothorn15a.html</w:t>
        </w:r>
      </w:hyperlink>
      <w:r w:rsidRPr="00AF3DFF">
        <w:rPr>
          <w:color w:val="000000"/>
          <w:szCs w:val="22"/>
          <w:shd w:val="clear" w:color="auto" w:fill="FFFFFF"/>
        </w:rPr>
        <w:t>.</w:t>
      </w:r>
    </w:p>
    <w:p w14:paraId="79D3468D" w14:textId="418438E6" w:rsidR="007D151D" w:rsidRPr="002A280D" w:rsidRDefault="007D151D" w:rsidP="00C9617A">
      <w:pPr>
        <w:pStyle w:val="N0-FlLftBullet"/>
      </w:pPr>
      <w:r w:rsidRPr="00C9617A">
        <w:t>Jones</w:t>
      </w:r>
      <w:r w:rsidR="00361B3D">
        <w:t>,</w:t>
      </w:r>
      <w:r w:rsidRPr="00C9617A">
        <w:t xml:space="preserve"> M.,</w:t>
      </w:r>
      <w:r w:rsidR="002A280D">
        <w:t xml:space="preserve"> Cecere</w:t>
      </w:r>
      <w:r w:rsidR="00361B3D">
        <w:t>,</w:t>
      </w:r>
      <w:r w:rsidR="002A280D">
        <w:t xml:space="preserve"> W.</w:t>
      </w:r>
      <w:r w:rsidR="0096595F">
        <w:t xml:space="preserve"> </w:t>
      </w:r>
      <w:r w:rsidR="002A280D">
        <w:t xml:space="preserve">E., </w:t>
      </w:r>
      <w:r w:rsidRPr="00C9617A">
        <w:t>Lin</w:t>
      </w:r>
      <w:r w:rsidR="00361B3D">
        <w:t>,</w:t>
      </w:r>
      <w:r w:rsidRPr="00C9617A">
        <w:t xml:space="preserve"> T.-H.,</w:t>
      </w:r>
      <w:r w:rsidR="002A280D">
        <w:t xml:space="preserve"> </w:t>
      </w:r>
      <w:r w:rsidR="0096595F">
        <w:t xml:space="preserve">and </w:t>
      </w:r>
      <w:r w:rsidRPr="00C9617A">
        <w:t>Kali</w:t>
      </w:r>
      <w:r w:rsidR="00361B3D">
        <w:t>,</w:t>
      </w:r>
      <w:r w:rsidRPr="00C9617A">
        <w:t xml:space="preserve"> J. (202</w:t>
      </w:r>
      <w:r w:rsidR="00E35569" w:rsidRPr="00C9617A">
        <w:t>1</w:t>
      </w:r>
      <w:r w:rsidRPr="00C9617A">
        <w:t>)</w:t>
      </w:r>
      <w:r w:rsidR="0096595F">
        <w:t>,</w:t>
      </w:r>
      <w:r w:rsidRPr="00C9617A">
        <w:t xml:space="preserve"> </w:t>
      </w:r>
      <w:r w:rsidR="00600ACE">
        <w:t>“</w:t>
      </w:r>
      <w:r w:rsidRPr="0096595F">
        <w:rPr>
          <w:rStyle w:val="Emphasis"/>
          <w:i w:val="0"/>
          <w:color w:val="000000"/>
          <w:szCs w:val="22"/>
          <w:shd w:val="clear" w:color="auto" w:fill="FFFFFF"/>
        </w:rPr>
        <w:t xml:space="preserve">Modeling </w:t>
      </w:r>
      <w:r w:rsidR="0096595F">
        <w:rPr>
          <w:rStyle w:val="Emphasis"/>
          <w:i w:val="0"/>
          <w:color w:val="000000"/>
          <w:szCs w:val="22"/>
          <w:shd w:val="clear" w:color="auto" w:fill="FFFFFF"/>
        </w:rPr>
        <w:t>S</w:t>
      </w:r>
      <w:r w:rsidRPr="0096595F">
        <w:rPr>
          <w:rStyle w:val="Emphasis"/>
          <w:i w:val="0"/>
          <w:color w:val="000000"/>
          <w:szCs w:val="22"/>
          <w:shd w:val="clear" w:color="auto" w:fill="FFFFFF"/>
        </w:rPr>
        <w:t xml:space="preserve">urvey </w:t>
      </w:r>
      <w:r w:rsidR="0096595F">
        <w:rPr>
          <w:rStyle w:val="Emphasis"/>
          <w:i w:val="0"/>
          <w:color w:val="000000"/>
          <w:szCs w:val="22"/>
          <w:shd w:val="clear" w:color="auto" w:fill="FFFFFF"/>
        </w:rPr>
        <w:t>N</w:t>
      </w:r>
      <w:r w:rsidRPr="0096595F">
        <w:rPr>
          <w:rStyle w:val="Emphasis"/>
          <w:i w:val="0"/>
          <w:color w:val="000000"/>
          <w:szCs w:val="22"/>
          <w:shd w:val="clear" w:color="auto" w:fill="FFFFFF"/>
        </w:rPr>
        <w:t xml:space="preserve">onresponse </w:t>
      </w:r>
      <w:r w:rsidR="0096595F">
        <w:rPr>
          <w:rStyle w:val="Emphasis"/>
          <w:i w:val="0"/>
          <w:color w:val="000000"/>
          <w:szCs w:val="22"/>
          <w:shd w:val="clear" w:color="auto" w:fill="FFFFFF"/>
        </w:rPr>
        <w:t>U</w:t>
      </w:r>
      <w:r w:rsidRPr="0096595F">
        <w:rPr>
          <w:rStyle w:val="Emphasis"/>
          <w:i w:val="0"/>
          <w:color w:val="000000"/>
          <w:szCs w:val="22"/>
          <w:shd w:val="clear" w:color="auto" w:fill="FFFFFF"/>
        </w:rPr>
        <w:t xml:space="preserve">nder a </w:t>
      </w:r>
      <w:r w:rsidR="0096595F">
        <w:rPr>
          <w:rStyle w:val="Emphasis"/>
          <w:i w:val="0"/>
          <w:color w:val="000000"/>
          <w:szCs w:val="22"/>
          <w:shd w:val="clear" w:color="auto" w:fill="FFFFFF"/>
        </w:rPr>
        <w:t>C</w:t>
      </w:r>
      <w:r w:rsidRPr="0096595F">
        <w:rPr>
          <w:rStyle w:val="Emphasis"/>
          <w:i w:val="0"/>
          <w:color w:val="000000"/>
          <w:szCs w:val="22"/>
          <w:shd w:val="clear" w:color="auto" w:fill="FFFFFF"/>
        </w:rPr>
        <w:t xml:space="preserve">luster </w:t>
      </w:r>
      <w:r w:rsidR="0096595F">
        <w:rPr>
          <w:rStyle w:val="Emphasis"/>
          <w:i w:val="0"/>
          <w:color w:val="000000"/>
          <w:szCs w:val="22"/>
          <w:shd w:val="clear" w:color="auto" w:fill="FFFFFF"/>
        </w:rPr>
        <w:t>S</w:t>
      </w:r>
      <w:r w:rsidRPr="0096595F">
        <w:rPr>
          <w:rStyle w:val="Emphasis"/>
          <w:i w:val="0"/>
          <w:color w:val="000000"/>
          <w:szCs w:val="22"/>
          <w:shd w:val="clear" w:color="auto" w:fill="FFFFFF"/>
        </w:rPr>
        <w:t xml:space="preserve">ample </w:t>
      </w:r>
      <w:r w:rsidR="0096595F">
        <w:rPr>
          <w:rStyle w:val="Emphasis"/>
          <w:i w:val="0"/>
          <w:color w:val="000000"/>
          <w:szCs w:val="22"/>
          <w:shd w:val="clear" w:color="auto" w:fill="FFFFFF"/>
        </w:rPr>
        <w:t>D</w:t>
      </w:r>
      <w:r w:rsidRPr="0096595F">
        <w:rPr>
          <w:rStyle w:val="Emphasis"/>
          <w:i w:val="0"/>
          <w:color w:val="000000"/>
          <w:szCs w:val="22"/>
          <w:shd w:val="clear" w:color="auto" w:fill="FFFFFF"/>
        </w:rPr>
        <w:t xml:space="preserve">esign: Classification and </w:t>
      </w:r>
      <w:r w:rsidR="0096595F">
        <w:rPr>
          <w:rStyle w:val="Emphasis"/>
          <w:i w:val="0"/>
          <w:color w:val="000000"/>
          <w:szCs w:val="22"/>
          <w:shd w:val="clear" w:color="auto" w:fill="FFFFFF"/>
        </w:rPr>
        <w:t>R</w:t>
      </w:r>
      <w:r w:rsidRPr="0096595F">
        <w:rPr>
          <w:rStyle w:val="Emphasis"/>
          <w:i w:val="0"/>
          <w:color w:val="000000"/>
          <w:szCs w:val="22"/>
          <w:shd w:val="clear" w:color="auto" w:fill="FFFFFF"/>
        </w:rPr>
        <w:t xml:space="preserve">egression </w:t>
      </w:r>
      <w:r w:rsidR="0096595F">
        <w:rPr>
          <w:rStyle w:val="Emphasis"/>
          <w:i w:val="0"/>
          <w:color w:val="000000"/>
          <w:szCs w:val="22"/>
          <w:shd w:val="clear" w:color="auto" w:fill="FFFFFF"/>
        </w:rPr>
        <w:t>T</w:t>
      </w:r>
      <w:r w:rsidRPr="0096595F">
        <w:rPr>
          <w:rStyle w:val="Emphasis"/>
          <w:i w:val="0"/>
          <w:color w:val="000000"/>
          <w:szCs w:val="22"/>
          <w:shd w:val="clear" w:color="auto" w:fill="FFFFFF"/>
        </w:rPr>
        <w:t xml:space="preserve">ree </w:t>
      </w:r>
      <w:r w:rsidR="0096595F">
        <w:rPr>
          <w:rStyle w:val="Emphasis"/>
          <w:i w:val="0"/>
          <w:color w:val="000000"/>
          <w:szCs w:val="22"/>
          <w:shd w:val="clear" w:color="auto" w:fill="FFFFFF"/>
        </w:rPr>
        <w:t>M</w:t>
      </w:r>
      <w:r w:rsidRPr="0096595F">
        <w:rPr>
          <w:rStyle w:val="Emphasis"/>
          <w:i w:val="0"/>
          <w:color w:val="000000"/>
          <w:szCs w:val="22"/>
          <w:shd w:val="clear" w:color="auto" w:fill="FFFFFF"/>
        </w:rPr>
        <w:t xml:space="preserve">ethodologies </w:t>
      </w:r>
      <w:r w:rsidR="0096595F">
        <w:rPr>
          <w:rStyle w:val="Emphasis"/>
          <w:i w:val="0"/>
          <w:color w:val="000000"/>
          <w:szCs w:val="22"/>
          <w:shd w:val="clear" w:color="auto" w:fill="FFFFFF"/>
        </w:rPr>
        <w:t>C</w:t>
      </w:r>
      <w:r w:rsidRPr="0096595F">
        <w:rPr>
          <w:rStyle w:val="Emphasis"/>
          <w:i w:val="0"/>
          <w:color w:val="000000"/>
          <w:szCs w:val="22"/>
          <w:shd w:val="clear" w:color="auto" w:fill="FFFFFF"/>
        </w:rPr>
        <w:t>ompared</w:t>
      </w:r>
      <w:r w:rsidR="0096595F">
        <w:rPr>
          <w:rStyle w:val="Emphasis"/>
          <w:i w:val="0"/>
          <w:color w:val="000000"/>
          <w:szCs w:val="22"/>
          <w:shd w:val="clear" w:color="auto" w:fill="FFFFFF"/>
        </w:rPr>
        <w:t>,</w:t>
      </w:r>
      <w:r w:rsidR="00600ACE">
        <w:t>”</w:t>
      </w:r>
      <w:r w:rsidRPr="00C9617A">
        <w:t xml:space="preserve"> </w:t>
      </w:r>
      <w:r w:rsidR="00361B3D">
        <w:t>i</w:t>
      </w:r>
      <w:r w:rsidR="0096595F">
        <w:t xml:space="preserve">n American Statistical Association </w:t>
      </w:r>
      <w:r w:rsidRPr="00C9617A">
        <w:rPr>
          <w:i/>
        </w:rPr>
        <w:t>Proceedings of the Survey Research</w:t>
      </w:r>
      <w:r w:rsidRPr="00FD1CA9">
        <w:rPr>
          <w:i/>
        </w:rPr>
        <w:t xml:space="preserve"> Methods Section</w:t>
      </w:r>
      <w:r w:rsidRPr="002A280D">
        <w:t>.</w:t>
      </w:r>
    </w:p>
    <w:p w14:paraId="0838A0FF" w14:textId="46C0A8E5" w:rsidR="00767E3F" w:rsidRDefault="004C1D2F" w:rsidP="00FA0A8F">
      <w:pPr>
        <w:pStyle w:val="N0-FlLftBullet"/>
      </w:pPr>
      <w:r>
        <w:t>Kass, G. V. (1980)</w:t>
      </w:r>
      <w:r w:rsidR="0096595F">
        <w:t>,</w:t>
      </w:r>
      <w:r>
        <w:t xml:space="preserve"> </w:t>
      </w:r>
      <w:r w:rsidR="00600ACE">
        <w:t>“</w:t>
      </w:r>
      <w:r>
        <w:t>An Exploratory Technique for Investigating Large Quantities of Categorical Data</w:t>
      </w:r>
      <w:r w:rsidR="0096595F">
        <w:t>,</w:t>
      </w:r>
      <w:r w:rsidR="00600ACE">
        <w:t>”</w:t>
      </w:r>
      <w:r>
        <w:t xml:space="preserve"> </w:t>
      </w:r>
      <w:r>
        <w:rPr>
          <w:i/>
        </w:rPr>
        <w:t>Journal of the Royal Statistical Society</w:t>
      </w:r>
      <w:r>
        <w:t>, Series C 29</w:t>
      </w:r>
      <w:r w:rsidR="0096595F">
        <w:t>,</w:t>
      </w:r>
      <w:r w:rsidR="0000210D">
        <w:t xml:space="preserve"> </w:t>
      </w:r>
      <w:r>
        <w:t>119–127</w:t>
      </w:r>
      <w:r w:rsidR="0096595F">
        <w:t>, DOI:</w:t>
      </w:r>
      <w:r w:rsidR="0096595F" w:rsidRPr="0096595F">
        <w:t xml:space="preserve"> 10.2307/2986296</w:t>
      </w:r>
      <w:r w:rsidR="0096595F">
        <w:t xml:space="preserve">. </w:t>
      </w:r>
    </w:p>
    <w:p w14:paraId="63678868" w14:textId="37B6385C" w:rsidR="000242A8" w:rsidRPr="000242A8" w:rsidRDefault="000242A8" w:rsidP="00FA0A8F">
      <w:pPr>
        <w:pStyle w:val="N0-FlLftBullet"/>
      </w:pPr>
      <w:r>
        <w:t>Kott, P. S. (2012)</w:t>
      </w:r>
      <w:r w:rsidR="0096595F">
        <w:t>,</w:t>
      </w:r>
      <w:r>
        <w:t xml:space="preserve"> </w:t>
      </w:r>
      <w:r w:rsidR="00600ACE">
        <w:t>“</w:t>
      </w:r>
      <w:r>
        <w:t xml:space="preserve">Why </w:t>
      </w:r>
      <w:r w:rsidR="0096595F">
        <w:t>O</w:t>
      </w:r>
      <w:r>
        <w:t xml:space="preserve">ne </w:t>
      </w:r>
      <w:r w:rsidR="0096595F">
        <w:t>S</w:t>
      </w:r>
      <w:r>
        <w:t xml:space="preserve">hould </w:t>
      </w:r>
      <w:r w:rsidR="0096595F">
        <w:t>I</w:t>
      </w:r>
      <w:r>
        <w:t xml:space="preserve">ncorporate the </w:t>
      </w:r>
      <w:r w:rsidR="0096595F">
        <w:t>D</w:t>
      </w:r>
      <w:r>
        <w:t xml:space="preserve">esign </w:t>
      </w:r>
      <w:r w:rsidR="0096595F">
        <w:t>W</w:t>
      </w:r>
      <w:r>
        <w:t xml:space="preserve">eights </w:t>
      </w:r>
      <w:r w:rsidR="0096595F">
        <w:t>W</w:t>
      </w:r>
      <w:r>
        <w:t xml:space="preserve">hen </w:t>
      </w:r>
      <w:r w:rsidR="0096595F">
        <w:t>A</w:t>
      </w:r>
      <w:r>
        <w:t xml:space="preserve">djusting for </w:t>
      </w:r>
      <w:r w:rsidR="0096595F">
        <w:t>U</w:t>
      </w:r>
      <w:r>
        <w:t xml:space="preserve">nit </w:t>
      </w:r>
      <w:r w:rsidR="0096595F">
        <w:t>N</w:t>
      </w:r>
      <w:r>
        <w:t xml:space="preserve">onresponse </w:t>
      </w:r>
      <w:r w:rsidR="0096595F">
        <w:t>U</w:t>
      </w:r>
      <w:r>
        <w:t xml:space="preserve">sing </w:t>
      </w:r>
      <w:r w:rsidR="0096595F">
        <w:t>R</w:t>
      </w:r>
      <w:r>
        <w:t xml:space="preserve">esponse </w:t>
      </w:r>
      <w:r w:rsidR="0096595F">
        <w:t>H</w:t>
      </w:r>
      <w:r>
        <w:t xml:space="preserve">omogeneity </w:t>
      </w:r>
      <w:r w:rsidR="0096595F">
        <w:t>G</w:t>
      </w:r>
      <w:r>
        <w:t>roups</w:t>
      </w:r>
      <w:r w:rsidR="0096595F">
        <w:t>,</w:t>
      </w:r>
      <w:r w:rsidR="00600ACE">
        <w:t>”</w:t>
      </w:r>
      <w:r>
        <w:t xml:space="preserve"> </w:t>
      </w:r>
      <w:r>
        <w:rPr>
          <w:i/>
        </w:rPr>
        <w:t>Survey Methodology</w:t>
      </w:r>
      <w:r>
        <w:t>, 38, 95-99</w:t>
      </w:r>
      <w:r w:rsidR="0096595F">
        <w:t xml:space="preserve">. Available at </w:t>
      </w:r>
      <w:hyperlink r:id="rId28" w:history="1">
        <w:r w:rsidR="0096595F" w:rsidRPr="006A071B">
          <w:rPr>
            <w:rStyle w:val="Hyperlink"/>
          </w:rPr>
          <w:t>http://www.statcan.gc.ca/pub/12-001-x/2012001/article/11689-eng.pdf</w:t>
        </w:r>
      </w:hyperlink>
      <w:r w:rsidR="0096595F">
        <w:t xml:space="preserve">. </w:t>
      </w:r>
    </w:p>
    <w:p w14:paraId="7F84FD25" w14:textId="023B0710" w:rsidR="00767E3F" w:rsidRDefault="004C1D2F" w:rsidP="00FA0A8F">
      <w:pPr>
        <w:pStyle w:val="N0-FlLftBullet"/>
      </w:pPr>
      <w:r>
        <w:t xml:space="preserve">Lessler, J. T., and W. D. Kalsbeek. </w:t>
      </w:r>
      <w:r w:rsidR="00992412">
        <w:t>(</w:t>
      </w:r>
      <w:r>
        <w:t>1992</w:t>
      </w:r>
      <w:r w:rsidR="00992412">
        <w:t>)</w:t>
      </w:r>
      <w:r w:rsidR="0096595F">
        <w:t>,</w:t>
      </w:r>
      <w:r>
        <w:t xml:space="preserve"> </w:t>
      </w:r>
      <w:r>
        <w:rPr>
          <w:i/>
        </w:rPr>
        <w:t xml:space="preserve">Nonsampling </w:t>
      </w:r>
      <w:r w:rsidR="0096595F">
        <w:rPr>
          <w:i/>
        </w:rPr>
        <w:t>E</w:t>
      </w:r>
      <w:r>
        <w:rPr>
          <w:i/>
        </w:rPr>
        <w:t xml:space="preserve">rrors in </w:t>
      </w:r>
      <w:r w:rsidR="0096595F">
        <w:rPr>
          <w:i/>
        </w:rPr>
        <w:t>S</w:t>
      </w:r>
      <w:r>
        <w:rPr>
          <w:i/>
        </w:rPr>
        <w:t>urveys</w:t>
      </w:r>
      <w:r w:rsidR="0096595F">
        <w:t xml:space="preserve"> </w:t>
      </w:r>
      <w:r>
        <w:t>(1st Ed.)</w:t>
      </w:r>
      <w:r w:rsidR="0096595F">
        <w:t>,</w:t>
      </w:r>
      <w:r>
        <w:t xml:space="preserve"> New York: John Wiley and Sons.</w:t>
      </w:r>
    </w:p>
    <w:p w14:paraId="574C4470" w14:textId="77777777" w:rsidR="005C0617" w:rsidRDefault="005C0617" w:rsidP="005C0617">
      <w:pPr>
        <w:pStyle w:val="N0-FlLftBullet"/>
      </w:pPr>
      <w:r>
        <w:t xml:space="preserve">Lin, T. H., Cecere, W., Jones, M., Kali, J. (2022), “Evaluating the Use of Design Weights in Classification Trees for Modeling Survey Nonresponse,” in American Statistical Association </w:t>
      </w:r>
      <w:r w:rsidRPr="00FD1CA9">
        <w:rPr>
          <w:i/>
        </w:rPr>
        <w:t>Proceedings of the Survey Research Methods</w:t>
      </w:r>
      <w:r>
        <w:rPr>
          <w:i/>
        </w:rPr>
        <w:t xml:space="preserve">, </w:t>
      </w:r>
      <w:r>
        <w:t>forthcoming.</w:t>
      </w:r>
    </w:p>
    <w:p w14:paraId="6F9236C6" w14:textId="77777777" w:rsidR="005C0617" w:rsidRDefault="005C0617" w:rsidP="00FA0A8F">
      <w:pPr>
        <w:pStyle w:val="N0-FlLftBullet"/>
      </w:pPr>
    </w:p>
    <w:p w14:paraId="3B04C2F6" w14:textId="08B50333" w:rsidR="00767E3F" w:rsidRDefault="004C1D2F" w:rsidP="00FA0A8F">
      <w:pPr>
        <w:pStyle w:val="N0-FlLftBullet"/>
      </w:pPr>
      <w:r>
        <w:t>Lin, T.</w:t>
      </w:r>
      <w:r w:rsidR="00361B3D">
        <w:t xml:space="preserve"> </w:t>
      </w:r>
      <w:r>
        <w:t>H.</w:t>
      </w:r>
      <w:r w:rsidR="00024923">
        <w:t>,</w:t>
      </w:r>
      <w:r>
        <w:t xml:space="preserve"> and Flores</w:t>
      </w:r>
      <w:r w:rsidR="001A7A3B">
        <w:t xml:space="preserve"> </w:t>
      </w:r>
      <w:r>
        <w:t>Cervantes, I. (2019)</w:t>
      </w:r>
      <w:r w:rsidR="00361B3D">
        <w:t>,</w:t>
      </w:r>
      <w:r>
        <w:t xml:space="preserve"> </w:t>
      </w:r>
      <w:r w:rsidR="00600ACE">
        <w:t>“</w:t>
      </w:r>
      <w:r>
        <w:t xml:space="preserve">A </w:t>
      </w:r>
      <w:r w:rsidR="00731FC7">
        <w:t>M</w:t>
      </w:r>
      <w:r>
        <w:t xml:space="preserve">odeling </w:t>
      </w:r>
      <w:r w:rsidR="00731FC7">
        <w:t>A</w:t>
      </w:r>
      <w:r>
        <w:t xml:space="preserve">pproach to </w:t>
      </w:r>
      <w:r w:rsidR="00731FC7">
        <w:t>C</w:t>
      </w:r>
      <w:r>
        <w:t>ompensate for</w:t>
      </w:r>
      <w:r w:rsidR="00731FC7">
        <w:t xml:space="preserve"> N</w:t>
      </w:r>
      <w:r>
        <w:t xml:space="preserve">onresponse and </w:t>
      </w:r>
      <w:r w:rsidR="00731FC7">
        <w:t>S</w:t>
      </w:r>
      <w:r>
        <w:t xml:space="preserve">election </w:t>
      </w:r>
      <w:r w:rsidR="00731FC7">
        <w:t>B</w:t>
      </w:r>
      <w:r>
        <w:t xml:space="preserve">ias in </w:t>
      </w:r>
      <w:r w:rsidR="00731FC7">
        <w:t>S</w:t>
      </w:r>
      <w:r>
        <w:t>urveys</w:t>
      </w:r>
      <w:r w:rsidR="00361B3D">
        <w:t>,</w:t>
      </w:r>
      <w:r w:rsidR="00600ACE">
        <w:t>”</w:t>
      </w:r>
      <w:r w:rsidR="00361B3D">
        <w:t xml:space="preserve"> in American Statistical Association</w:t>
      </w:r>
      <w:r w:rsidR="00FA0A8F">
        <w:t xml:space="preserve"> </w:t>
      </w:r>
      <w:r w:rsidR="00FD1CA9" w:rsidRPr="00FD1CA9">
        <w:rPr>
          <w:i/>
        </w:rPr>
        <w:t>Proceedings of the Survey Research Methods Section</w:t>
      </w:r>
      <w:r w:rsidR="00FD1CA9">
        <w:t>,</w:t>
      </w:r>
      <w:r w:rsidR="00361B3D">
        <w:t xml:space="preserve"> </w:t>
      </w:r>
      <w:r w:rsidR="0000210D">
        <w:t xml:space="preserve">pp. </w:t>
      </w:r>
      <w:r w:rsidR="00FA0A8F">
        <w:t>827</w:t>
      </w:r>
      <w:r w:rsidR="00FA0A8F">
        <w:noBreakHyphen/>
      </w:r>
      <w:r>
        <w:t>834.</w:t>
      </w:r>
    </w:p>
    <w:p w14:paraId="13C15E74" w14:textId="2E30CE45" w:rsidR="00731FC7" w:rsidRDefault="00731FC7" w:rsidP="00731FC7">
      <w:pPr>
        <w:pStyle w:val="N0-FlLftBullet"/>
      </w:pPr>
      <w:r>
        <w:t>Lin, T.</w:t>
      </w:r>
      <w:r w:rsidR="00361B3D">
        <w:t xml:space="preserve"> </w:t>
      </w:r>
      <w:r>
        <w:t>H., Flores Cervantes, I., and Kwanisai, M. (2021)</w:t>
      </w:r>
      <w:r w:rsidR="00361B3D">
        <w:t>,</w:t>
      </w:r>
      <w:r>
        <w:t xml:space="preserve"> </w:t>
      </w:r>
      <w:r w:rsidR="00600ACE">
        <w:t>“</w:t>
      </w:r>
      <w:r w:rsidR="00FD1CA9" w:rsidRPr="00FD1CA9">
        <w:t>A</w:t>
      </w:r>
      <w:r w:rsidR="00FD1CA9">
        <w:t xml:space="preserve"> Comparison of Two CHAID Packages for Modeling Survey Nonresponse</w:t>
      </w:r>
      <w:r w:rsidR="00361B3D">
        <w:t>,</w:t>
      </w:r>
      <w:r w:rsidR="00600ACE">
        <w:t>”</w:t>
      </w:r>
      <w:r w:rsidR="00361B3D">
        <w:t xml:space="preserve"> in American Statistical Association</w:t>
      </w:r>
      <w:r w:rsidR="00E6668A">
        <w:t xml:space="preserve"> </w:t>
      </w:r>
      <w:r w:rsidR="00FD1CA9" w:rsidRPr="00FD1CA9">
        <w:rPr>
          <w:i/>
        </w:rPr>
        <w:t>Proceedings of the Survey Research Methods</w:t>
      </w:r>
      <w:r w:rsidR="00361B3D">
        <w:rPr>
          <w:i/>
        </w:rPr>
        <w:t>,</w:t>
      </w:r>
      <w:r w:rsidR="00FD1CA9">
        <w:rPr>
          <w:i/>
        </w:rPr>
        <w:t xml:space="preserve"> </w:t>
      </w:r>
      <w:r w:rsidR="00361B3D">
        <w:t>forthcoming</w:t>
      </w:r>
      <w:r w:rsidR="00FD1CA9" w:rsidRPr="00FD1CA9">
        <w:t>.</w:t>
      </w:r>
    </w:p>
    <w:p w14:paraId="68768E0F" w14:textId="77777777" w:rsidR="005C0617" w:rsidRDefault="005C0617" w:rsidP="005C0617">
      <w:pPr>
        <w:pStyle w:val="N0-FlLftBullet"/>
      </w:pPr>
      <w:r>
        <w:t>Little, R. J. A., and Vartivarian, S. (2005), “</w:t>
      </w:r>
      <w:r>
        <w:rPr>
          <w:bCs/>
          <w:color w:val="111111"/>
          <w:lang w:val="en"/>
        </w:rPr>
        <w:t>Does Weighting for Nonresponse Increase the Variance of Survey Means?”</w:t>
      </w:r>
      <w:r>
        <w:rPr>
          <w:i/>
          <w:iCs/>
        </w:rPr>
        <w:t xml:space="preserve"> Survey Methodology</w:t>
      </w:r>
      <w:r>
        <w:t>, 31, 161-168.</w:t>
      </w:r>
    </w:p>
    <w:p w14:paraId="40B81A6E" w14:textId="49A29741" w:rsidR="00767E3F" w:rsidRDefault="004C1D2F" w:rsidP="00FA0A8F">
      <w:pPr>
        <w:pStyle w:val="N0-FlLftBullet"/>
      </w:pPr>
      <w:r>
        <w:t>Loh, W.-Y. (2014)</w:t>
      </w:r>
      <w:r w:rsidR="00361B3D">
        <w:t>,</w:t>
      </w:r>
      <w:r>
        <w:t xml:space="preserve"> </w:t>
      </w:r>
      <w:r w:rsidR="00600ACE">
        <w:t>“</w:t>
      </w:r>
      <w:r>
        <w:t>Fifty Years of Classification and Regression Trees</w:t>
      </w:r>
      <w:r w:rsidR="00361B3D">
        <w:t>,</w:t>
      </w:r>
      <w:r w:rsidR="00600ACE">
        <w:t>”</w:t>
      </w:r>
      <w:r>
        <w:t xml:space="preserve"> </w:t>
      </w:r>
      <w:r>
        <w:rPr>
          <w:i/>
        </w:rPr>
        <w:t xml:space="preserve">International Statistical Review, </w:t>
      </w:r>
      <w:r>
        <w:t>82, 329-348.</w:t>
      </w:r>
    </w:p>
    <w:p w14:paraId="71DAB73D" w14:textId="4C889062" w:rsidR="00767E3F" w:rsidRDefault="004C1D2F" w:rsidP="00FA0A8F">
      <w:pPr>
        <w:pStyle w:val="N0-FlLftBullet"/>
      </w:pPr>
      <w:r>
        <w:t xml:space="preserve">Lohr, S., Hsu, V., </w:t>
      </w:r>
      <w:r w:rsidR="00024923">
        <w:t xml:space="preserve">and </w:t>
      </w:r>
      <w:r>
        <w:t>Montaquila, J. (2015)</w:t>
      </w:r>
      <w:r w:rsidR="00361B3D">
        <w:t>,</w:t>
      </w:r>
      <w:r>
        <w:t xml:space="preserve"> </w:t>
      </w:r>
      <w:r w:rsidR="00600ACE">
        <w:t>“</w:t>
      </w:r>
      <w:r>
        <w:t>Using Classification and Regression Trees to Model Survey Nonresponse</w:t>
      </w:r>
      <w:r w:rsidR="00361B3D">
        <w:t>,</w:t>
      </w:r>
      <w:r w:rsidR="00600ACE">
        <w:t>”</w:t>
      </w:r>
      <w:r>
        <w:t xml:space="preserve"> </w:t>
      </w:r>
      <w:r w:rsidR="00361B3D">
        <w:t xml:space="preserve">in American Statistical Association </w:t>
      </w:r>
      <w:r>
        <w:rPr>
          <w:i/>
        </w:rPr>
        <w:t>Proceedings of the Survey Research Methods Section</w:t>
      </w:r>
      <w:r w:rsidR="00FA0A8F">
        <w:t xml:space="preserve">, </w:t>
      </w:r>
      <w:r w:rsidR="0000210D">
        <w:t xml:space="preserve">pp. </w:t>
      </w:r>
      <w:r w:rsidR="00FA0A8F">
        <w:t>2071</w:t>
      </w:r>
      <w:r w:rsidR="00FA0A8F">
        <w:noBreakHyphen/>
      </w:r>
      <w:r>
        <w:t>2085.</w:t>
      </w:r>
    </w:p>
    <w:p w14:paraId="20475C12" w14:textId="01220535" w:rsidR="00767E3F" w:rsidRDefault="004C1D2F" w:rsidP="00FA0A8F">
      <w:pPr>
        <w:pStyle w:val="N0-FlLftBullet"/>
      </w:pPr>
      <w:r>
        <w:t>Quinlan, J.</w:t>
      </w:r>
      <w:r w:rsidR="0000210D">
        <w:t xml:space="preserve"> </w:t>
      </w:r>
      <w:r>
        <w:t>R. (1986)</w:t>
      </w:r>
      <w:r w:rsidR="00361B3D">
        <w:t>,</w:t>
      </w:r>
      <w:r>
        <w:t xml:space="preserve"> </w:t>
      </w:r>
      <w:r w:rsidR="00600ACE">
        <w:t>“</w:t>
      </w:r>
      <w:r>
        <w:t>Induction of Decision Trees</w:t>
      </w:r>
      <w:r w:rsidR="00361B3D">
        <w:t>,</w:t>
      </w:r>
      <w:r w:rsidR="00600ACE">
        <w:t>”</w:t>
      </w:r>
      <w:r>
        <w:t xml:space="preserve"> </w:t>
      </w:r>
      <w:r w:rsidRPr="001A7A3B">
        <w:rPr>
          <w:i/>
        </w:rPr>
        <w:t>Machine Learning</w:t>
      </w:r>
      <w:r w:rsidR="00992412">
        <w:rPr>
          <w:i/>
        </w:rPr>
        <w:t>,</w:t>
      </w:r>
      <w:r>
        <w:t xml:space="preserve"> 1, 81-106.</w:t>
      </w:r>
    </w:p>
    <w:p w14:paraId="7F0B60B3" w14:textId="61285A87" w:rsidR="00767E3F" w:rsidRDefault="004C1D2F" w:rsidP="00A82BD0">
      <w:pPr>
        <w:pStyle w:val="N0-FlLftBullet"/>
        <w:ind w:left="0" w:firstLine="0"/>
      </w:pPr>
      <w:r>
        <w:t>SAS Institute, Inc. (2015)</w:t>
      </w:r>
      <w:r w:rsidR="0000210D">
        <w:t>,</w:t>
      </w:r>
      <w:r>
        <w:t xml:space="preserve"> </w:t>
      </w:r>
      <w:r w:rsidRPr="0000210D">
        <w:rPr>
          <w:i/>
        </w:rPr>
        <w:t>SAS/STAT</w:t>
      </w:r>
      <w:r w:rsidRPr="0000210D">
        <w:rPr>
          <w:i/>
          <w:vertAlign w:val="superscript"/>
        </w:rPr>
        <w:t>®</w:t>
      </w:r>
      <w:r w:rsidRPr="0000210D">
        <w:rPr>
          <w:i/>
        </w:rPr>
        <w:t xml:space="preserve"> 14.1 User</w:t>
      </w:r>
      <w:r w:rsidR="00600ACE">
        <w:rPr>
          <w:i/>
        </w:rPr>
        <w:t>’</w:t>
      </w:r>
      <w:r w:rsidRPr="0000210D">
        <w:rPr>
          <w:i/>
        </w:rPr>
        <w:t>s Guide</w:t>
      </w:r>
      <w:r w:rsidR="0000210D">
        <w:rPr>
          <w:i/>
        </w:rPr>
        <w:t>,</w:t>
      </w:r>
      <w:r>
        <w:t xml:space="preserve"> Cary, NC: SAS Institute, Inc.</w:t>
      </w:r>
    </w:p>
    <w:p w14:paraId="7289A67D" w14:textId="02478018" w:rsidR="00767E3F" w:rsidRDefault="004C1D2F" w:rsidP="00FA0A8F">
      <w:pPr>
        <w:pStyle w:val="N0-FlLftBullet"/>
      </w:pPr>
      <w:r>
        <w:t>Sela, R. J., and Simonoff, J. S. (2012)</w:t>
      </w:r>
      <w:r w:rsidR="0000210D">
        <w:t>,</w:t>
      </w:r>
      <w:r>
        <w:t xml:space="preserve"> </w:t>
      </w:r>
      <w:r w:rsidR="00600ACE">
        <w:t>“</w:t>
      </w:r>
      <w:r>
        <w:t>RE-EM Trees: A Data Mining Approach for Longitudinal and Clustered Data</w:t>
      </w:r>
      <w:r w:rsidR="0000210D">
        <w:t>,</w:t>
      </w:r>
      <w:r w:rsidR="00600ACE">
        <w:t>”</w:t>
      </w:r>
      <w:r>
        <w:t xml:space="preserve"> </w:t>
      </w:r>
      <w:r>
        <w:rPr>
          <w:i/>
        </w:rPr>
        <w:t xml:space="preserve">Machine Learning, </w:t>
      </w:r>
      <w:r>
        <w:t>86, 169-207.</w:t>
      </w:r>
    </w:p>
    <w:p w14:paraId="73AD7BCA" w14:textId="4CFB7E81" w:rsidR="00340874" w:rsidRDefault="00340874" w:rsidP="00D234CF">
      <w:pPr>
        <w:pStyle w:val="N0-FlLftBullet"/>
        <w:jc w:val="left"/>
      </w:pPr>
      <w:r>
        <w:t>Sela, R. J., Simonoff, J., and Jing, W. (2021)</w:t>
      </w:r>
      <w:r w:rsidR="0000210D">
        <w:t>,</w:t>
      </w:r>
      <w:r>
        <w:t xml:space="preserve"> </w:t>
      </w:r>
      <w:r w:rsidRPr="0000210D">
        <w:rPr>
          <w:i/>
        </w:rPr>
        <w:t>REEMtree: Regression Trees with Random Effects</w:t>
      </w:r>
      <w:r w:rsidR="0000210D">
        <w:t>, R package version 0.90.4. Available at</w:t>
      </w:r>
      <w:r w:rsidRPr="00340874">
        <w:t xml:space="preserve"> </w:t>
      </w:r>
      <w:hyperlink r:id="rId29" w:history="1">
        <w:r w:rsidR="001F0301" w:rsidRPr="00CE0F54">
          <w:rPr>
            <w:rStyle w:val="Hyperlink"/>
          </w:rPr>
          <w:t>https://CRAN.R-project.org/package=REEMtree</w:t>
        </w:r>
      </w:hyperlink>
      <w:r w:rsidR="0000210D">
        <w:rPr>
          <w:rStyle w:val="Hyperlink"/>
        </w:rPr>
        <w:t>.</w:t>
      </w:r>
    </w:p>
    <w:p w14:paraId="1592FBE2" w14:textId="76E0A98A" w:rsidR="001F0301" w:rsidRDefault="001F0301" w:rsidP="001F0301">
      <w:pPr>
        <w:pStyle w:val="N0-FlLftBullet"/>
      </w:pPr>
      <w:r w:rsidRPr="001F0301">
        <w:t>Therneau</w:t>
      </w:r>
      <w:r>
        <w:t>, T., Atkinson, B., and Ripley, B. (</w:t>
      </w:r>
      <w:r w:rsidR="0000210D">
        <w:t>2022</w:t>
      </w:r>
      <w:r>
        <w:t>)</w:t>
      </w:r>
      <w:r w:rsidR="0000210D">
        <w:t>,</w:t>
      </w:r>
      <w:r>
        <w:t xml:space="preserve"> </w:t>
      </w:r>
      <w:r w:rsidRPr="0000210D">
        <w:rPr>
          <w:i/>
        </w:rPr>
        <w:t>rpart: Recursive Partitioning and Regression Trees</w:t>
      </w:r>
      <w:r w:rsidR="0000210D">
        <w:t>, Version 4.1.16. Available at</w:t>
      </w:r>
      <w:r>
        <w:t xml:space="preserve"> </w:t>
      </w:r>
      <w:hyperlink r:id="rId30" w:history="1">
        <w:r w:rsidRPr="001F0301">
          <w:rPr>
            <w:rStyle w:val="Hyperlink"/>
          </w:rPr>
          <w:t>https://CRAN.R-project.org/package=rpart</w:t>
        </w:r>
      </w:hyperlink>
      <w:r w:rsidR="0000210D">
        <w:rPr>
          <w:rStyle w:val="Hyperlink"/>
        </w:rPr>
        <w:t>.</w:t>
      </w:r>
    </w:p>
    <w:p w14:paraId="6970AE0D" w14:textId="20C2599F" w:rsidR="00A82BD0" w:rsidRDefault="00A82BD0" w:rsidP="00A82BD0">
      <w:pPr>
        <w:pStyle w:val="N0-FlLftBullet"/>
      </w:pPr>
      <w:r>
        <w:t>Toth, D., and Phipps, P. (2014)</w:t>
      </w:r>
      <w:r w:rsidR="0000210D">
        <w:t>,</w:t>
      </w:r>
      <w:r>
        <w:t xml:space="preserve"> </w:t>
      </w:r>
      <w:r w:rsidR="00600ACE">
        <w:t>“</w:t>
      </w:r>
      <w:r>
        <w:t>Regression Tree Models for Analyzing Survey Response</w:t>
      </w:r>
      <w:r w:rsidR="0000210D">
        <w:t>,</w:t>
      </w:r>
      <w:r w:rsidR="00600ACE">
        <w:t>”</w:t>
      </w:r>
      <w:r>
        <w:t xml:space="preserve"> </w:t>
      </w:r>
      <w:r w:rsidR="0000210D">
        <w:t xml:space="preserve">in American Statistical Association </w:t>
      </w:r>
      <w:r>
        <w:rPr>
          <w:i/>
        </w:rPr>
        <w:t>Proceedings of the Government Statistics Section,</w:t>
      </w:r>
      <w:r w:rsidR="0000210D">
        <w:rPr>
          <w:i/>
        </w:rPr>
        <w:t xml:space="preserve"> </w:t>
      </w:r>
      <w:r w:rsidR="0000210D" w:rsidRPr="0000210D">
        <w:t>pp</w:t>
      </w:r>
      <w:r w:rsidR="0000210D">
        <w:rPr>
          <w:i/>
        </w:rPr>
        <w:t>.</w:t>
      </w:r>
      <w:r>
        <w:rPr>
          <w:i/>
        </w:rPr>
        <w:t xml:space="preserve"> </w:t>
      </w:r>
      <w:r>
        <w:t>339-351</w:t>
      </w:r>
      <w:r w:rsidR="0000210D">
        <w:t>.</w:t>
      </w:r>
    </w:p>
    <w:p w14:paraId="6220DB0B" w14:textId="408FC3BB" w:rsidR="00767E3F" w:rsidRDefault="00A82BD0" w:rsidP="00353972">
      <w:pPr>
        <w:pStyle w:val="N0-FlLftBullet"/>
      </w:pPr>
      <w:r>
        <w:t>Toth, D. (</w:t>
      </w:r>
      <w:r w:rsidR="0000210D">
        <w:t>2021</w:t>
      </w:r>
      <w:r>
        <w:t xml:space="preserve">). </w:t>
      </w:r>
      <w:r w:rsidRPr="0000210D">
        <w:rPr>
          <w:i/>
        </w:rPr>
        <w:t>rpms: Recursive Partitioning for Modeling Survey Data</w:t>
      </w:r>
      <w:r w:rsidR="0000210D">
        <w:rPr>
          <w:i/>
        </w:rPr>
        <w:t>,</w:t>
      </w:r>
      <w:r>
        <w:t xml:space="preserve"> Version 0.</w:t>
      </w:r>
      <w:r w:rsidR="0000210D">
        <w:t>5.1</w:t>
      </w:r>
      <w:r>
        <w:t xml:space="preserve">. </w:t>
      </w:r>
      <w:r w:rsidR="0000210D">
        <w:t xml:space="preserve">Available at </w:t>
      </w:r>
      <w:hyperlink r:id="rId31" w:history="1">
        <w:r w:rsidR="00340874" w:rsidRPr="00340874">
          <w:rPr>
            <w:rStyle w:val="Hyperlink"/>
          </w:rPr>
          <w:t>https://CRAN.R-project.org/package=rpms</w:t>
        </w:r>
      </w:hyperlink>
      <w:r w:rsidR="0000210D">
        <w:rPr>
          <w:rStyle w:val="Hyperlink"/>
        </w:rPr>
        <w:t>.</w:t>
      </w:r>
    </w:p>
    <w:sectPr w:rsidR="00767E3F" w:rsidSect="00572245">
      <w:headerReference w:type="default" r:id="rId32"/>
      <w:pgSz w:w="12240" w:h="15840"/>
      <w:pgMar w:top="1440" w:right="2160" w:bottom="1440" w:left="2160" w:header="706" w:footer="706"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5146B" w16cex:dateUtc="2023-10-02T1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A0A391" w16cid:durableId="28C514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86D5D" w14:textId="77777777" w:rsidR="00965541" w:rsidRDefault="00965541">
      <w:r>
        <w:separator/>
      </w:r>
    </w:p>
  </w:endnote>
  <w:endnote w:type="continuationSeparator" w:id="0">
    <w:p w14:paraId="35F16EFF" w14:textId="77777777" w:rsidR="00965541" w:rsidRDefault="0096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A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28CDE" w14:textId="77777777" w:rsidR="002B5E7B" w:rsidRDefault="002B5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602C8" w14:textId="77777777" w:rsidR="002B5E7B" w:rsidRDefault="002B5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C799F" w14:textId="77777777" w:rsidR="002B5E7B" w:rsidRDefault="002B5E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1BCCC" w14:textId="77777777" w:rsidR="00F1183F" w:rsidRDefault="00F11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395B2" w14:textId="77777777" w:rsidR="00965541" w:rsidRDefault="00965541">
      <w:r>
        <w:separator/>
      </w:r>
    </w:p>
  </w:footnote>
  <w:footnote w:type="continuationSeparator" w:id="0">
    <w:p w14:paraId="29D63A42" w14:textId="77777777" w:rsidR="00965541" w:rsidRDefault="00965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3ACE8" w14:textId="77777777" w:rsidR="002B5E7B" w:rsidRDefault="002B5E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DDC8" w14:textId="77777777" w:rsidR="002B5E7B" w:rsidRDefault="002B5E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83117" w14:textId="77777777" w:rsidR="002B5E7B" w:rsidRDefault="002B5E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B38EB" w14:textId="77777777" w:rsidR="002B5E7B" w:rsidRDefault="002B5E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868B1" w14:textId="77777777" w:rsidR="00F1183F" w:rsidRDefault="00F118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93B3F" w14:textId="77777777" w:rsidR="00F1183F" w:rsidRDefault="00F118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44BD"/>
    <w:multiLevelType w:val="hybridMultilevel"/>
    <w:tmpl w:val="A0882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633E0"/>
    <w:multiLevelType w:val="hybridMultilevel"/>
    <w:tmpl w:val="D0724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D01F9C"/>
    <w:multiLevelType w:val="hybridMultilevel"/>
    <w:tmpl w:val="838650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20321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A6B634F"/>
    <w:multiLevelType w:val="hybridMultilevel"/>
    <w:tmpl w:val="9B86EC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6E43B1"/>
    <w:multiLevelType w:val="multilevel"/>
    <w:tmpl w:val="69A2D3A4"/>
    <w:lvl w:ilvl="0">
      <w:start w:val="1"/>
      <w:numFmt w:val="upperLetter"/>
      <w:pStyle w:val="NA-2ndBullet"/>
      <w:lvlText w:val="%1."/>
      <w:lvlJc w:val="left"/>
      <w:pPr>
        <w:ind w:left="1728" w:hanging="576"/>
      </w:pPr>
      <w:rPr>
        <w:rFonts w:ascii="Times New Roman" w:hAnsi="Times New Roman" w:cs="Times New Roman" w:hint="default"/>
        <w:color w:val="00467F"/>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D002F3"/>
    <w:multiLevelType w:val="hybridMultilevel"/>
    <w:tmpl w:val="229ABEA8"/>
    <w:lvl w:ilvl="0" w:tplc="DBB2D528">
      <w:start w:val="1"/>
      <w:numFmt w:val="bullet"/>
      <w:lvlText w:val=""/>
      <w:lvlJc w:val="left"/>
      <w:pPr>
        <w:tabs>
          <w:tab w:val="num" w:pos="1152"/>
        </w:tabs>
        <w:ind w:left="1152"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1D08CE"/>
    <w:multiLevelType w:val="multilevel"/>
    <w:tmpl w:val="4CE8E7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7"/>
      <w:lvlText w:val="%1.%2.%3.%4.%5.%6"/>
      <w:lvlJc w:val="left"/>
      <w:pPr>
        <w:ind w:left="1152" w:hanging="1152"/>
      </w:pPr>
      <w:rPr>
        <w:rFonts w:hint="default"/>
      </w:rPr>
    </w:lvl>
    <w:lvl w:ilvl="6">
      <w:start w:val="1"/>
      <w:numFmt w:val="decimal"/>
      <w:pStyle w:val="Heading8"/>
      <w:lvlText w:val="%1.%2.%3.%4.%5.%6.%7"/>
      <w:lvlJc w:val="left"/>
      <w:pPr>
        <w:ind w:left="1296" w:hanging="1296"/>
      </w:pPr>
      <w:rPr>
        <w:rFonts w:hint="default"/>
      </w:rPr>
    </w:lvl>
    <w:lvl w:ilvl="7">
      <w:start w:val="1"/>
      <w:numFmt w:val="decimal"/>
      <w:pStyle w:val="Heading9"/>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1E24938"/>
    <w:multiLevelType w:val="hybridMultilevel"/>
    <w:tmpl w:val="D9343AB2"/>
    <w:lvl w:ilvl="0" w:tplc="14E05CE2">
      <w:start w:val="1"/>
      <w:numFmt w:val="lowerLetter"/>
      <w:pStyle w:val="N4-4thBullet"/>
      <w:lvlText w:val="%1."/>
      <w:lvlJc w:val="left"/>
      <w:pPr>
        <w:tabs>
          <w:tab w:val="num" w:pos="2880"/>
        </w:tabs>
        <w:ind w:left="2880" w:hanging="576"/>
      </w:pPr>
      <w:rPr>
        <w:rFonts w:ascii="Times New Roman" w:hAnsi="Times New Roman" w:cs="Times New Roman" w:hint="default"/>
        <w:b w:val="0"/>
        <w:i w:val="0"/>
        <w:caps w:val="0"/>
        <w:color w:val="00467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2E05780"/>
    <w:multiLevelType w:val="hybridMultilevel"/>
    <w:tmpl w:val="1474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53F97"/>
    <w:multiLevelType w:val="hybridMultilevel"/>
    <w:tmpl w:val="6F70A73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15:restartNumberingAfterBreak="0">
    <w:nsid w:val="1A530598"/>
    <w:multiLevelType w:val="hybridMultilevel"/>
    <w:tmpl w:val="0AE8CE0E"/>
    <w:lvl w:ilvl="0" w:tplc="9B9C37E8">
      <w:start w:val="1"/>
      <w:numFmt w:val="upperLetter"/>
      <w:lvlText w:val="%1."/>
      <w:lvlJc w:val="left"/>
      <w:pPr>
        <w:ind w:left="900" w:hanging="360"/>
      </w:pPr>
      <w:rPr>
        <w:rFonts w:asciiTheme="minorHAnsi" w:hAnsiTheme="minorHAnsi" w:hint="default"/>
        <w:b/>
        <w:i w:val="0"/>
        <w:color w:val="E39B30"/>
        <w:sz w:val="22"/>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1B5C4E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EFE2C96"/>
    <w:multiLevelType w:val="hybridMultilevel"/>
    <w:tmpl w:val="4F7E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222E4"/>
    <w:multiLevelType w:val="hybridMultilevel"/>
    <w:tmpl w:val="8FF4E6BA"/>
    <w:lvl w:ilvl="0" w:tplc="3210FFBA">
      <w:start w:val="1"/>
      <w:numFmt w:val="decimal"/>
      <w:pStyle w:val="NB-4thBullet"/>
      <w:lvlText w:val="%1."/>
      <w:lvlJc w:val="left"/>
      <w:pPr>
        <w:ind w:left="540" w:hanging="360"/>
      </w:pPr>
      <w:rPr>
        <w:rFonts w:ascii="Calibri" w:hAnsi="Calibri" w:hint="default"/>
        <w:b/>
        <w:i w:val="0"/>
        <w:color w:val="E39B30"/>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26C05432"/>
    <w:multiLevelType w:val="hybridMultilevel"/>
    <w:tmpl w:val="C68EC572"/>
    <w:lvl w:ilvl="0" w:tplc="61AA1F4A">
      <w:start w:val="1"/>
      <w:numFmt w:val="lowerLetter"/>
      <w:lvlText w:val="%1."/>
      <w:lvlJc w:val="left"/>
      <w:pPr>
        <w:ind w:left="3240" w:hanging="360"/>
      </w:pPr>
      <w:rPr>
        <w:rFonts w:ascii="Times New Roman" w:eastAsiaTheme="minorHAnsi" w:hAnsi="Times New Roman" w:cs="Times New Roman"/>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6" w15:restartNumberingAfterBreak="0">
    <w:nsid w:val="28090E1E"/>
    <w:multiLevelType w:val="hybridMultilevel"/>
    <w:tmpl w:val="15D612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2E8C70AE"/>
    <w:multiLevelType w:val="hybridMultilevel"/>
    <w:tmpl w:val="34E0CD88"/>
    <w:lvl w:ilvl="0" w:tplc="510A4CBE">
      <w:start w:val="1"/>
      <w:numFmt w:val="lowerLetter"/>
      <w:lvlText w:val="(%1)"/>
      <w:lvlJc w:val="right"/>
      <w:pPr>
        <w:ind w:left="1980" w:hanging="360"/>
      </w:pPr>
      <w:rPr>
        <w:rFonts w:ascii="Calibri" w:hAnsi="Calibri" w:hint="default"/>
        <w:b/>
        <w:i w:val="0"/>
        <w:color w:val="E39B3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2495D27"/>
    <w:multiLevelType w:val="singleLevel"/>
    <w:tmpl w:val="C4A44E40"/>
    <w:lvl w:ilvl="0">
      <w:start w:val="1"/>
      <w:numFmt w:val="bullet"/>
      <w:pStyle w:val="N2-2ndBullet"/>
      <w:lvlText w:val="–"/>
      <w:lvlJc w:val="left"/>
      <w:pPr>
        <w:tabs>
          <w:tab w:val="num" w:pos="1728"/>
        </w:tabs>
        <w:ind w:left="1728" w:hanging="576"/>
      </w:pPr>
      <w:rPr>
        <w:rFonts w:ascii="Times New Roman" w:hAnsi="Times New Roman" w:cs="Times New Roman" w:hint="default"/>
        <w:color w:val="00467F"/>
        <w:sz w:val="22"/>
        <w:szCs w:val="24"/>
      </w:rPr>
    </w:lvl>
  </w:abstractNum>
  <w:abstractNum w:abstractNumId="19" w15:restartNumberingAfterBreak="0">
    <w:nsid w:val="358B533C"/>
    <w:multiLevelType w:val="hybridMultilevel"/>
    <w:tmpl w:val="C93448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B612BBC"/>
    <w:multiLevelType w:val="multilevel"/>
    <w:tmpl w:val="2C26223A"/>
    <w:lvl w:ilvl="0">
      <w:start w:val="1"/>
      <w:numFmt w:val="lowerLetter"/>
      <w:pStyle w:val="NC-4thBullet"/>
      <w:lvlText w:val="(%1)"/>
      <w:lvlJc w:val="left"/>
      <w:pPr>
        <w:ind w:left="2880" w:hanging="576"/>
      </w:pPr>
      <w:rPr>
        <w:rFonts w:ascii="Times New Roman" w:hAnsi="Times New Roman" w:cs="Times New Roman" w:hint="default"/>
        <w:color w:val="00467F"/>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E272F80"/>
    <w:multiLevelType w:val="hybridMultilevel"/>
    <w:tmpl w:val="2B8AB726"/>
    <w:lvl w:ilvl="0" w:tplc="D30877B2">
      <w:start w:val="1"/>
      <w:numFmt w:val="decimal"/>
      <w:pStyle w:val="N3-3rdBullet"/>
      <w:lvlText w:val="%1."/>
      <w:lvlJc w:val="left"/>
      <w:pPr>
        <w:tabs>
          <w:tab w:val="num" w:pos="2304"/>
        </w:tabs>
        <w:ind w:left="2304" w:hanging="576"/>
      </w:pPr>
      <w:rPr>
        <w:rFonts w:ascii="Times New Roman" w:hAnsi="Times New Roman" w:cs="Times New Roman" w:hint="default"/>
        <w:color w:val="00467F"/>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D83E3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8B51D2A"/>
    <w:multiLevelType w:val="hybridMultilevel"/>
    <w:tmpl w:val="2416D80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4A283793"/>
    <w:multiLevelType w:val="hybridMultilevel"/>
    <w:tmpl w:val="2F2AC814"/>
    <w:lvl w:ilvl="0" w:tplc="45EE2516">
      <w:start w:val="1"/>
      <w:numFmt w:val="lowerRoman"/>
      <w:lvlText w:val="(%1)"/>
      <w:lvlJc w:val="left"/>
      <w:pPr>
        <w:ind w:left="1267" w:hanging="360"/>
      </w:pPr>
      <w:rPr>
        <w:rFonts w:ascii="Calibri" w:hAnsi="Calibri" w:hint="default"/>
        <w:b/>
        <w:i w:val="0"/>
        <w:color w:val="E39B30"/>
        <w:sz w:val="22"/>
      </w:rPr>
    </w:lvl>
    <w:lvl w:ilvl="1" w:tplc="04090019">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5" w15:restartNumberingAfterBreak="0">
    <w:nsid w:val="4EE562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2F8333D"/>
    <w:multiLevelType w:val="hybridMultilevel"/>
    <w:tmpl w:val="DE98F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54C7"/>
    <w:multiLevelType w:val="multilevel"/>
    <w:tmpl w:val="CD9C580C"/>
    <w:lvl w:ilvl="0">
      <w:start w:val="1"/>
      <w:numFmt w:val="lowerRoman"/>
      <w:pStyle w:val="NB-3rdBullet"/>
      <w:lvlText w:val="(%1)"/>
      <w:lvlJc w:val="left"/>
      <w:pPr>
        <w:ind w:left="2304" w:hanging="576"/>
      </w:pPr>
      <w:rPr>
        <w:rFonts w:ascii="Times New Roman" w:hAnsi="Times New Roman" w:cs="Times New Roman" w:hint="default"/>
        <w:color w:val="00467F"/>
        <w:sz w:val="22"/>
        <w:szCs w:val="22"/>
      </w:rPr>
    </w:lvl>
    <w:lvl w:ilvl="1">
      <w:start w:val="1"/>
      <w:numFmt w:val="lowerLetter"/>
      <w:lvlText w:val="%2."/>
      <w:lvlJc w:val="left"/>
      <w:pPr>
        <w:ind w:left="3744" w:hanging="360"/>
      </w:pPr>
      <w:rPr>
        <w:rFonts w:hint="default"/>
      </w:rPr>
    </w:lvl>
    <w:lvl w:ilvl="2">
      <w:start w:val="1"/>
      <w:numFmt w:val="lowerRoman"/>
      <w:lvlText w:val="%3."/>
      <w:lvlJc w:val="right"/>
      <w:pPr>
        <w:ind w:left="4464" w:hanging="180"/>
      </w:pPr>
      <w:rPr>
        <w:rFonts w:hint="default"/>
      </w:rPr>
    </w:lvl>
    <w:lvl w:ilvl="3">
      <w:start w:val="1"/>
      <w:numFmt w:val="decimal"/>
      <w:lvlText w:val="%4."/>
      <w:lvlJc w:val="left"/>
      <w:pPr>
        <w:ind w:left="5184" w:hanging="360"/>
      </w:pPr>
      <w:rPr>
        <w:rFonts w:hint="default"/>
      </w:rPr>
    </w:lvl>
    <w:lvl w:ilvl="4">
      <w:start w:val="1"/>
      <w:numFmt w:val="lowerLetter"/>
      <w:lvlText w:val="%5."/>
      <w:lvlJc w:val="left"/>
      <w:pPr>
        <w:ind w:left="5904" w:hanging="360"/>
      </w:pPr>
      <w:rPr>
        <w:rFonts w:hint="default"/>
      </w:rPr>
    </w:lvl>
    <w:lvl w:ilvl="5">
      <w:start w:val="1"/>
      <w:numFmt w:val="lowerRoman"/>
      <w:lvlText w:val="%6."/>
      <w:lvlJc w:val="right"/>
      <w:pPr>
        <w:ind w:left="6624" w:hanging="180"/>
      </w:pPr>
      <w:rPr>
        <w:rFonts w:hint="default"/>
      </w:rPr>
    </w:lvl>
    <w:lvl w:ilvl="6">
      <w:start w:val="1"/>
      <w:numFmt w:val="decimal"/>
      <w:lvlText w:val="%7."/>
      <w:lvlJc w:val="left"/>
      <w:pPr>
        <w:ind w:left="7344" w:hanging="360"/>
      </w:pPr>
      <w:rPr>
        <w:rFonts w:hint="default"/>
      </w:rPr>
    </w:lvl>
    <w:lvl w:ilvl="7">
      <w:start w:val="1"/>
      <w:numFmt w:val="lowerLetter"/>
      <w:lvlText w:val="%8."/>
      <w:lvlJc w:val="left"/>
      <w:pPr>
        <w:ind w:left="8064" w:hanging="360"/>
      </w:pPr>
      <w:rPr>
        <w:rFonts w:hint="default"/>
      </w:rPr>
    </w:lvl>
    <w:lvl w:ilvl="8">
      <w:start w:val="1"/>
      <w:numFmt w:val="lowerRoman"/>
      <w:lvlText w:val="%9."/>
      <w:lvlJc w:val="right"/>
      <w:pPr>
        <w:ind w:left="8784" w:hanging="180"/>
      </w:pPr>
      <w:rPr>
        <w:rFonts w:hint="default"/>
      </w:rPr>
    </w:lvl>
  </w:abstractNum>
  <w:abstractNum w:abstractNumId="28" w15:restartNumberingAfterBreak="0">
    <w:nsid w:val="68542601"/>
    <w:multiLevelType w:val="multilevel"/>
    <w:tmpl w:val="1FA090C6"/>
    <w:lvl w:ilvl="0">
      <w:start w:val="1"/>
      <w:numFmt w:val="decimal"/>
      <w:pStyle w:val="NL-1stNumberedBullet"/>
      <w:lvlText w:val="%1."/>
      <w:lvlJc w:val="left"/>
      <w:pPr>
        <w:ind w:left="1152" w:hanging="576"/>
      </w:pPr>
      <w:rPr>
        <w:rFonts w:hint="default"/>
        <w:color w:val="00467F"/>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BD22EA0"/>
    <w:multiLevelType w:val="hybridMultilevel"/>
    <w:tmpl w:val="6F3E0E1E"/>
    <w:lvl w:ilvl="0" w:tplc="D7E635A6">
      <w:start w:val="1"/>
      <w:numFmt w:val="bullet"/>
      <w:pStyle w:val="TB2-TableBullet2"/>
      <w:lvlText w:val=""/>
      <w:lvlJc w:val="left"/>
      <w:pPr>
        <w:ind w:left="720" w:hanging="360"/>
      </w:pPr>
      <w:rPr>
        <w:rFonts w:ascii="Symbol" w:hAnsi="Symbol" w:hint="default"/>
        <w:color w:val="00467F"/>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D37B5"/>
    <w:multiLevelType w:val="hybridMultilevel"/>
    <w:tmpl w:val="A7FC10DC"/>
    <w:lvl w:ilvl="0" w:tplc="0718A844">
      <w:start w:val="1"/>
      <w:numFmt w:val="bullet"/>
      <w:pStyle w:val="N1-1st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1BC1859"/>
    <w:multiLevelType w:val="hybridMultilevel"/>
    <w:tmpl w:val="452ADCE6"/>
    <w:lvl w:ilvl="0" w:tplc="EB187F1A">
      <w:start w:val="1"/>
      <w:numFmt w:val="bullet"/>
      <w:pStyle w:val="TB-TableBullet"/>
      <w:lvlText w:val=""/>
      <w:lvlJc w:val="left"/>
      <w:pPr>
        <w:ind w:left="720" w:hanging="360"/>
      </w:pPr>
      <w:rPr>
        <w:rFonts w:ascii="Symbol" w:hAnsi="Symbol" w:hint="default"/>
        <w:color w:val="00467F"/>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C6668"/>
    <w:multiLevelType w:val="hybridMultilevel"/>
    <w:tmpl w:val="7096B7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6"/>
  </w:num>
  <w:num w:numId="9">
    <w:abstractNumId w:val="32"/>
  </w:num>
  <w:num w:numId="10">
    <w:abstractNumId w:val="19"/>
  </w:num>
  <w:num w:numId="11">
    <w:abstractNumId w:val="26"/>
  </w:num>
  <w:num w:numId="12">
    <w:abstractNumId w:val="9"/>
  </w:num>
  <w:num w:numId="13">
    <w:abstractNumId w:val="13"/>
  </w:num>
  <w:num w:numId="14">
    <w:abstractNumId w:val="0"/>
  </w:num>
  <w:num w:numId="15">
    <w:abstractNumId w:val="6"/>
  </w:num>
  <w:num w:numId="16">
    <w:abstractNumId w:val="21"/>
  </w:num>
  <w:num w:numId="17">
    <w:abstractNumId w:val="8"/>
  </w:num>
  <w:num w:numId="18">
    <w:abstractNumId w:val="31"/>
  </w:num>
  <w:num w:numId="19">
    <w:abstractNumId w:val="18"/>
  </w:num>
  <w:num w:numId="20">
    <w:abstractNumId w:val="5"/>
  </w:num>
  <w:num w:numId="21">
    <w:abstractNumId w:val="27"/>
  </w:num>
  <w:num w:numId="22">
    <w:abstractNumId w:val="20"/>
  </w:num>
  <w:num w:numId="23">
    <w:abstractNumId w:val="28"/>
  </w:num>
  <w:num w:numId="24">
    <w:abstractNumId w:val="21"/>
    <w:lvlOverride w:ilvl="0">
      <w:startOverride w:val="1"/>
    </w:lvlOverride>
  </w:num>
  <w:num w:numId="25">
    <w:abstractNumId w:val="8"/>
    <w:lvlOverride w:ilvl="0">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num>
  <w:num w:numId="31">
    <w:abstractNumId w:val="27"/>
    <w:lvlOverride w:ilvl="0">
      <w:startOverride w:val="1"/>
    </w:lvlOverride>
  </w:num>
  <w:num w:numId="32">
    <w:abstractNumId w:val="20"/>
    <w:lvlOverride w:ilvl="0">
      <w:startOverride w:val="1"/>
    </w:lvlOverride>
  </w:num>
  <w:num w:numId="33">
    <w:abstractNumId w:val="28"/>
    <w:lvlOverride w:ilvl="0">
      <w:startOverride w:val="1"/>
    </w:lvlOverride>
  </w:num>
  <w:num w:numId="34">
    <w:abstractNumId w:val="12"/>
  </w:num>
  <w:num w:numId="35">
    <w:abstractNumId w:val="7"/>
  </w:num>
  <w:num w:numId="36">
    <w:abstractNumId w:val="25"/>
  </w:num>
  <w:num w:numId="37">
    <w:abstractNumId w:val="22"/>
  </w:num>
  <w:num w:numId="38">
    <w:abstractNumId w:val="14"/>
  </w:num>
  <w:num w:numId="39">
    <w:abstractNumId w:val="11"/>
  </w:num>
  <w:num w:numId="40">
    <w:abstractNumId w:val="24"/>
  </w:num>
  <w:num w:numId="41">
    <w:abstractNumId w:val="17"/>
  </w:num>
  <w:num w:numId="42">
    <w:abstractNumId w:val="29"/>
  </w:num>
  <w:num w:numId="43">
    <w:abstractNumId w:val="1"/>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TrackFormatting/>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E0MTAxNTeysDQ2MTVQ0lEKTi0uzszPAykwrQUA3NufCSwAAAA="/>
  </w:docVars>
  <w:rsids>
    <w:rsidRoot w:val="00767E3F"/>
    <w:rsid w:val="00000B57"/>
    <w:rsid w:val="00000E76"/>
    <w:rsid w:val="00001736"/>
    <w:rsid w:val="00001BD3"/>
    <w:rsid w:val="0000210D"/>
    <w:rsid w:val="00004C46"/>
    <w:rsid w:val="00007622"/>
    <w:rsid w:val="0000779F"/>
    <w:rsid w:val="0001379E"/>
    <w:rsid w:val="00015E99"/>
    <w:rsid w:val="00020E51"/>
    <w:rsid w:val="00022279"/>
    <w:rsid w:val="000242A8"/>
    <w:rsid w:val="00024923"/>
    <w:rsid w:val="00027253"/>
    <w:rsid w:val="000303F6"/>
    <w:rsid w:val="00030F2B"/>
    <w:rsid w:val="00037C67"/>
    <w:rsid w:val="00043B2B"/>
    <w:rsid w:val="00047AC2"/>
    <w:rsid w:val="0006032A"/>
    <w:rsid w:val="00061CFE"/>
    <w:rsid w:val="00074953"/>
    <w:rsid w:val="00077C6F"/>
    <w:rsid w:val="00080FDC"/>
    <w:rsid w:val="00084A2E"/>
    <w:rsid w:val="00084C83"/>
    <w:rsid w:val="0008678D"/>
    <w:rsid w:val="00086B24"/>
    <w:rsid w:val="000965E6"/>
    <w:rsid w:val="000966F3"/>
    <w:rsid w:val="000A36D1"/>
    <w:rsid w:val="000B6D1E"/>
    <w:rsid w:val="000C1F06"/>
    <w:rsid w:val="000C2FA6"/>
    <w:rsid w:val="000C448D"/>
    <w:rsid w:val="000C4A2A"/>
    <w:rsid w:val="000D0641"/>
    <w:rsid w:val="000D6339"/>
    <w:rsid w:val="000E021A"/>
    <w:rsid w:val="000E2EC4"/>
    <w:rsid w:val="000E4072"/>
    <w:rsid w:val="000E637D"/>
    <w:rsid w:val="000E797A"/>
    <w:rsid w:val="0010388A"/>
    <w:rsid w:val="001039FD"/>
    <w:rsid w:val="00103E81"/>
    <w:rsid w:val="0010601A"/>
    <w:rsid w:val="00107B2D"/>
    <w:rsid w:val="001151FB"/>
    <w:rsid w:val="0011557C"/>
    <w:rsid w:val="00121A63"/>
    <w:rsid w:val="001223AF"/>
    <w:rsid w:val="00122F11"/>
    <w:rsid w:val="0012675E"/>
    <w:rsid w:val="00127538"/>
    <w:rsid w:val="00127E71"/>
    <w:rsid w:val="0014213D"/>
    <w:rsid w:val="001427BD"/>
    <w:rsid w:val="0014654E"/>
    <w:rsid w:val="00151EFC"/>
    <w:rsid w:val="001608E2"/>
    <w:rsid w:val="00160F50"/>
    <w:rsid w:val="001617EC"/>
    <w:rsid w:val="0016311C"/>
    <w:rsid w:val="00164FDF"/>
    <w:rsid w:val="00167822"/>
    <w:rsid w:val="001725FB"/>
    <w:rsid w:val="00181CAE"/>
    <w:rsid w:val="00184E5F"/>
    <w:rsid w:val="00187916"/>
    <w:rsid w:val="001A1394"/>
    <w:rsid w:val="001A1514"/>
    <w:rsid w:val="001A1ABF"/>
    <w:rsid w:val="001A2BA3"/>
    <w:rsid w:val="001A7A3B"/>
    <w:rsid w:val="001A7F35"/>
    <w:rsid w:val="001B37CD"/>
    <w:rsid w:val="001C0970"/>
    <w:rsid w:val="001C35E1"/>
    <w:rsid w:val="001C3AB0"/>
    <w:rsid w:val="001C598B"/>
    <w:rsid w:val="001D32BE"/>
    <w:rsid w:val="001D6070"/>
    <w:rsid w:val="001E254F"/>
    <w:rsid w:val="001E2810"/>
    <w:rsid w:val="001E2D76"/>
    <w:rsid w:val="001E66CD"/>
    <w:rsid w:val="001F0301"/>
    <w:rsid w:val="001F0CBE"/>
    <w:rsid w:val="001F1386"/>
    <w:rsid w:val="001F685D"/>
    <w:rsid w:val="001F6F77"/>
    <w:rsid w:val="00207DFC"/>
    <w:rsid w:val="00211B0C"/>
    <w:rsid w:val="0021217C"/>
    <w:rsid w:val="00213DBA"/>
    <w:rsid w:val="00221715"/>
    <w:rsid w:val="002240CE"/>
    <w:rsid w:val="0022637F"/>
    <w:rsid w:val="0023054D"/>
    <w:rsid w:val="002309EC"/>
    <w:rsid w:val="0023474B"/>
    <w:rsid w:val="0024037C"/>
    <w:rsid w:val="00243305"/>
    <w:rsid w:val="002462E2"/>
    <w:rsid w:val="00250CE5"/>
    <w:rsid w:val="00252661"/>
    <w:rsid w:val="002550C4"/>
    <w:rsid w:val="0025672E"/>
    <w:rsid w:val="00256A61"/>
    <w:rsid w:val="00260F52"/>
    <w:rsid w:val="00261C3A"/>
    <w:rsid w:val="0026607B"/>
    <w:rsid w:val="002713DF"/>
    <w:rsid w:val="0027178A"/>
    <w:rsid w:val="002750B2"/>
    <w:rsid w:val="0027592C"/>
    <w:rsid w:val="00280365"/>
    <w:rsid w:val="0028122C"/>
    <w:rsid w:val="00281273"/>
    <w:rsid w:val="002854B3"/>
    <w:rsid w:val="00285ED8"/>
    <w:rsid w:val="002906E2"/>
    <w:rsid w:val="00293E1F"/>
    <w:rsid w:val="002943DF"/>
    <w:rsid w:val="00297B5A"/>
    <w:rsid w:val="002A1A1C"/>
    <w:rsid w:val="002A2028"/>
    <w:rsid w:val="002A280D"/>
    <w:rsid w:val="002A2AD9"/>
    <w:rsid w:val="002A4DDC"/>
    <w:rsid w:val="002B3A26"/>
    <w:rsid w:val="002B51B0"/>
    <w:rsid w:val="002B5E7B"/>
    <w:rsid w:val="002C32F7"/>
    <w:rsid w:val="002D24F2"/>
    <w:rsid w:val="002D42A9"/>
    <w:rsid w:val="002D5361"/>
    <w:rsid w:val="002E12A7"/>
    <w:rsid w:val="002E2D45"/>
    <w:rsid w:val="002E591E"/>
    <w:rsid w:val="002E596B"/>
    <w:rsid w:val="002F54BE"/>
    <w:rsid w:val="002F7459"/>
    <w:rsid w:val="0030269A"/>
    <w:rsid w:val="003029DA"/>
    <w:rsid w:val="00312767"/>
    <w:rsid w:val="00317158"/>
    <w:rsid w:val="003206A0"/>
    <w:rsid w:val="003231FD"/>
    <w:rsid w:val="0032412B"/>
    <w:rsid w:val="00326513"/>
    <w:rsid w:val="00326FB5"/>
    <w:rsid w:val="00327818"/>
    <w:rsid w:val="00330EDB"/>
    <w:rsid w:val="00330F39"/>
    <w:rsid w:val="00331C3D"/>
    <w:rsid w:val="00334A67"/>
    <w:rsid w:val="00340874"/>
    <w:rsid w:val="00343477"/>
    <w:rsid w:val="0034621F"/>
    <w:rsid w:val="003474ED"/>
    <w:rsid w:val="0035061A"/>
    <w:rsid w:val="00351B48"/>
    <w:rsid w:val="00353972"/>
    <w:rsid w:val="00353E28"/>
    <w:rsid w:val="0036006F"/>
    <w:rsid w:val="0036074A"/>
    <w:rsid w:val="00360BF3"/>
    <w:rsid w:val="00361B3D"/>
    <w:rsid w:val="0036595A"/>
    <w:rsid w:val="003659E8"/>
    <w:rsid w:val="00367FC9"/>
    <w:rsid w:val="003708B6"/>
    <w:rsid w:val="003709C1"/>
    <w:rsid w:val="00371E3A"/>
    <w:rsid w:val="00372B14"/>
    <w:rsid w:val="00375F64"/>
    <w:rsid w:val="003845DE"/>
    <w:rsid w:val="00385507"/>
    <w:rsid w:val="00392536"/>
    <w:rsid w:val="003934C1"/>
    <w:rsid w:val="00396E79"/>
    <w:rsid w:val="003B17C1"/>
    <w:rsid w:val="003B5B75"/>
    <w:rsid w:val="003C14F2"/>
    <w:rsid w:val="003D1468"/>
    <w:rsid w:val="003D5D3B"/>
    <w:rsid w:val="003D70A9"/>
    <w:rsid w:val="003E014A"/>
    <w:rsid w:val="003E0995"/>
    <w:rsid w:val="003E171D"/>
    <w:rsid w:val="003E2465"/>
    <w:rsid w:val="003E3EF2"/>
    <w:rsid w:val="003F002F"/>
    <w:rsid w:val="004069B5"/>
    <w:rsid w:val="0041528C"/>
    <w:rsid w:val="004164F4"/>
    <w:rsid w:val="00422FAB"/>
    <w:rsid w:val="004264CB"/>
    <w:rsid w:val="0042740B"/>
    <w:rsid w:val="00444755"/>
    <w:rsid w:val="004448E3"/>
    <w:rsid w:val="00445CAE"/>
    <w:rsid w:val="00450FFC"/>
    <w:rsid w:val="0045708D"/>
    <w:rsid w:val="0045737A"/>
    <w:rsid w:val="004576D8"/>
    <w:rsid w:val="004578D9"/>
    <w:rsid w:val="004674C1"/>
    <w:rsid w:val="004739B9"/>
    <w:rsid w:val="00477F11"/>
    <w:rsid w:val="004818B6"/>
    <w:rsid w:val="00483F1A"/>
    <w:rsid w:val="00485CC3"/>
    <w:rsid w:val="00486A89"/>
    <w:rsid w:val="00487316"/>
    <w:rsid w:val="004A5592"/>
    <w:rsid w:val="004A587F"/>
    <w:rsid w:val="004A58D9"/>
    <w:rsid w:val="004B0B57"/>
    <w:rsid w:val="004B7459"/>
    <w:rsid w:val="004C1D2F"/>
    <w:rsid w:val="004C6461"/>
    <w:rsid w:val="004D2ED0"/>
    <w:rsid w:val="004E4979"/>
    <w:rsid w:val="004F56AD"/>
    <w:rsid w:val="00500E93"/>
    <w:rsid w:val="00505012"/>
    <w:rsid w:val="00510F51"/>
    <w:rsid w:val="005248C5"/>
    <w:rsid w:val="005266D0"/>
    <w:rsid w:val="00531668"/>
    <w:rsid w:val="00532D80"/>
    <w:rsid w:val="005360CD"/>
    <w:rsid w:val="005408A2"/>
    <w:rsid w:val="00544B81"/>
    <w:rsid w:val="0054598B"/>
    <w:rsid w:val="005516D4"/>
    <w:rsid w:val="00556BE7"/>
    <w:rsid w:val="00560319"/>
    <w:rsid w:val="00562052"/>
    <w:rsid w:val="00562D2E"/>
    <w:rsid w:val="00563B71"/>
    <w:rsid w:val="0056780A"/>
    <w:rsid w:val="005708DF"/>
    <w:rsid w:val="00572245"/>
    <w:rsid w:val="00577192"/>
    <w:rsid w:val="005871B2"/>
    <w:rsid w:val="00587732"/>
    <w:rsid w:val="00591EB0"/>
    <w:rsid w:val="00592DC0"/>
    <w:rsid w:val="005944AB"/>
    <w:rsid w:val="005A2A83"/>
    <w:rsid w:val="005B15C5"/>
    <w:rsid w:val="005C0617"/>
    <w:rsid w:val="005C2619"/>
    <w:rsid w:val="005C359A"/>
    <w:rsid w:val="005C43B9"/>
    <w:rsid w:val="005D24E5"/>
    <w:rsid w:val="005D6C24"/>
    <w:rsid w:val="005E2188"/>
    <w:rsid w:val="005F0052"/>
    <w:rsid w:val="005F30E6"/>
    <w:rsid w:val="005F4785"/>
    <w:rsid w:val="005F5423"/>
    <w:rsid w:val="00600717"/>
    <w:rsid w:val="00600ACE"/>
    <w:rsid w:val="00600DC0"/>
    <w:rsid w:val="00602654"/>
    <w:rsid w:val="00607292"/>
    <w:rsid w:val="00607336"/>
    <w:rsid w:val="006075BA"/>
    <w:rsid w:val="006163C6"/>
    <w:rsid w:val="00621F9A"/>
    <w:rsid w:val="006241B3"/>
    <w:rsid w:val="00630AD7"/>
    <w:rsid w:val="00631021"/>
    <w:rsid w:val="00637861"/>
    <w:rsid w:val="00641322"/>
    <w:rsid w:val="00642A1C"/>
    <w:rsid w:val="0064367C"/>
    <w:rsid w:val="00650A67"/>
    <w:rsid w:val="00652597"/>
    <w:rsid w:val="006555A8"/>
    <w:rsid w:val="00661CA0"/>
    <w:rsid w:val="006654C5"/>
    <w:rsid w:val="00665898"/>
    <w:rsid w:val="00666820"/>
    <w:rsid w:val="00670F96"/>
    <w:rsid w:val="00671F98"/>
    <w:rsid w:val="0067341C"/>
    <w:rsid w:val="006742E9"/>
    <w:rsid w:val="00684478"/>
    <w:rsid w:val="00690498"/>
    <w:rsid w:val="00691249"/>
    <w:rsid w:val="0069452B"/>
    <w:rsid w:val="006951A1"/>
    <w:rsid w:val="00695773"/>
    <w:rsid w:val="006A361D"/>
    <w:rsid w:val="006A39DA"/>
    <w:rsid w:val="006A4C3A"/>
    <w:rsid w:val="006C01B6"/>
    <w:rsid w:val="006C1080"/>
    <w:rsid w:val="006D082C"/>
    <w:rsid w:val="006D0AA7"/>
    <w:rsid w:val="006E4D2D"/>
    <w:rsid w:val="006F557E"/>
    <w:rsid w:val="006F690C"/>
    <w:rsid w:val="006F6A7B"/>
    <w:rsid w:val="006F73EE"/>
    <w:rsid w:val="00700C01"/>
    <w:rsid w:val="00704F32"/>
    <w:rsid w:val="00710663"/>
    <w:rsid w:val="007249B1"/>
    <w:rsid w:val="00724CDB"/>
    <w:rsid w:val="00726708"/>
    <w:rsid w:val="00731FC7"/>
    <w:rsid w:val="00732CA5"/>
    <w:rsid w:val="007416EC"/>
    <w:rsid w:val="00753B84"/>
    <w:rsid w:val="00756774"/>
    <w:rsid w:val="007602AD"/>
    <w:rsid w:val="007616E7"/>
    <w:rsid w:val="00761C59"/>
    <w:rsid w:val="0076511E"/>
    <w:rsid w:val="0076578A"/>
    <w:rsid w:val="007659CA"/>
    <w:rsid w:val="0076630D"/>
    <w:rsid w:val="00766BBE"/>
    <w:rsid w:val="00767E3F"/>
    <w:rsid w:val="007707A8"/>
    <w:rsid w:val="00770E27"/>
    <w:rsid w:val="0078059D"/>
    <w:rsid w:val="00780785"/>
    <w:rsid w:val="00781585"/>
    <w:rsid w:val="00781972"/>
    <w:rsid w:val="00785B61"/>
    <w:rsid w:val="00796728"/>
    <w:rsid w:val="007A0582"/>
    <w:rsid w:val="007A0BE3"/>
    <w:rsid w:val="007A103E"/>
    <w:rsid w:val="007A3477"/>
    <w:rsid w:val="007A37C6"/>
    <w:rsid w:val="007B014B"/>
    <w:rsid w:val="007B6A14"/>
    <w:rsid w:val="007B6A32"/>
    <w:rsid w:val="007C020D"/>
    <w:rsid w:val="007C2D36"/>
    <w:rsid w:val="007C4D86"/>
    <w:rsid w:val="007D0D70"/>
    <w:rsid w:val="007D151D"/>
    <w:rsid w:val="007D7893"/>
    <w:rsid w:val="007E4EA7"/>
    <w:rsid w:val="007E5932"/>
    <w:rsid w:val="007F07C7"/>
    <w:rsid w:val="007F20D9"/>
    <w:rsid w:val="007F2841"/>
    <w:rsid w:val="007F314B"/>
    <w:rsid w:val="007F67F8"/>
    <w:rsid w:val="00801E76"/>
    <w:rsid w:val="00803639"/>
    <w:rsid w:val="008066CD"/>
    <w:rsid w:val="00807EA5"/>
    <w:rsid w:val="00816956"/>
    <w:rsid w:val="008170C9"/>
    <w:rsid w:val="0081736B"/>
    <w:rsid w:val="008211FA"/>
    <w:rsid w:val="008223B7"/>
    <w:rsid w:val="0083164B"/>
    <w:rsid w:val="008319D3"/>
    <w:rsid w:val="00833C98"/>
    <w:rsid w:val="0083568C"/>
    <w:rsid w:val="008425CA"/>
    <w:rsid w:val="00851A51"/>
    <w:rsid w:val="008535AB"/>
    <w:rsid w:val="008653D4"/>
    <w:rsid w:val="008761D4"/>
    <w:rsid w:val="00877993"/>
    <w:rsid w:val="008808E1"/>
    <w:rsid w:val="008814D5"/>
    <w:rsid w:val="00882DAD"/>
    <w:rsid w:val="0088490E"/>
    <w:rsid w:val="00890DD5"/>
    <w:rsid w:val="00892EEE"/>
    <w:rsid w:val="0089368F"/>
    <w:rsid w:val="008A70AA"/>
    <w:rsid w:val="008B11FE"/>
    <w:rsid w:val="008B3687"/>
    <w:rsid w:val="008B3CF5"/>
    <w:rsid w:val="008B6BB3"/>
    <w:rsid w:val="008C5EDB"/>
    <w:rsid w:val="008C6B7A"/>
    <w:rsid w:val="008D650A"/>
    <w:rsid w:val="008D693B"/>
    <w:rsid w:val="008E4BB5"/>
    <w:rsid w:val="008E73AB"/>
    <w:rsid w:val="008E7F30"/>
    <w:rsid w:val="008F2180"/>
    <w:rsid w:val="008F6E25"/>
    <w:rsid w:val="00905394"/>
    <w:rsid w:val="00906076"/>
    <w:rsid w:val="0091413F"/>
    <w:rsid w:val="00921A37"/>
    <w:rsid w:val="00924C70"/>
    <w:rsid w:val="00926B48"/>
    <w:rsid w:val="009334E9"/>
    <w:rsid w:val="00934DCD"/>
    <w:rsid w:val="0093539B"/>
    <w:rsid w:val="009443A7"/>
    <w:rsid w:val="009462D9"/>
    <w:rsid w:val="00956295"/>
    <w:rsid w:val="00965541"/>
    <w:rsid w:val="009658C8"/>
    <w:rsid w:val="0096595F"/>
    <w:rsid w:val="00965BE5"/>
    <w:rsid w:val="00973BEA"/>
    <w:rsid w:val="009768BD"/>
    <w:rsid w:val="00980363"/>
    <w:rsid w:val="0098043B"/>
    <w:rsid w:val="009817B8"/>
    <w:rsid w:val="009818BE"/>
    <w:rsid w:val="00983962"/>
    <w:rsid w:val="00983A7A"/>
    <w:rsid w:val="0098649E"/>
    <w:rsid w:val="00992412"/>
    <w:rsid w:val="009959CC"/>
    <w:rsid w:val="009967C2"/>
    <w:rsid w:val="00996D2A"/>
    <w:rsid w:val="00997BF1"/>
    <w:rsid w:val="009A305B"/>
    <w:rsid w:val="009A431F"/>
    <w:rsid w:val="009A6447"/>
    <w:rsid w:val="009A714D"/>
    <w:rsid w:val="009B0834"/>
    <w:rsid w:val="009B089C"/>
    <w:rsid w:val="009B62F9"/>
    <w:rsid w:val="009B7F4F"/>
    <w:rsid w:val="009C3A95"/>
    <w:rsid w:val="009C44E3"/>
    <w:rsid w:val="009C479D"/>
    <w:rsid w:val="009D40F3"/>
    <w:rsid w:val="009D6A1F"/>
    <w:rsid w:val="009E158B"/>
    <w:rsid w:val="009E720D"/>
    <w:rsid w:val="009F3228"/>
    <w:rsid w:val="009F73D5"/>
    <w:rsid w:val="00A11A24"/>
    <w:rsid w:val="00A11E3A"/>
    <w:rsid w:val="00A14B58"/>
    <w:rsid w:val="00A22BF5"/>
    <w:rsid w:val="00A24170"/>
    <w:rsid w:val="00A2779E"/>
    <w:rsid w:val="00A344A3"/>
    <w:rsid w:val="00A36907"/>
    <w:rsid w:val="00A42834"/>
    <w:rsid w:val="00A45068"/>
    <w:rsid w:val="00A471C8"/>
    <w:rsid w:val="00A54786"/>
    <w:rsid w:val="00A56016"/>
    <w:rsid w:val="00A571F5"/>
    <w:rsid w:val="00A57230"/>
    <w:rsid w:val="00A636F2"/>
    <w:rsid w:val="00A71496"/>
    <w:rsid w:val="00A72D1C"/>
    <w:rsid w:val="00A80C5D"/>
    <w:rsid w:val="00A8127D"/>
    <w:rsid w:val="00A82BD0"/>
    <w:rsid w:val="00A82D94"/>
    <w:rsid w:val="00A832CA"/>
    <w:rsid w:val="00A83BF0"/>
    <w:rsid w:val="00A915D5"/>
    <w:rsid w:val="00A92353"/>
    <w:rsid w:val="00A9307D"/>
    <w:rsid w:val="00A95F22"/>
    <w:rsid w:val="00A969B0"/>
    <w:rsid w:val="00AA1238"/>
    <w:rsid w:val="00AA3DFB"/>
    <w:rsid w:val="00AA4081"/>
    <w:rsid w:val="00AA4B23"/>
    <w:rsid w:val="00AA5665"/>
    <w:rsid w:val="00AC5DC3"/>
    <w:rsid w:val="00AC5EEA"/>
    <w:rsid w:val="00AC698F"/>
    <w:rsid w:val="00AD18DA"/>
    <w:rsid w:val="00AD3EAA"/>
    <w:rsid w:val="00AE4310"/>
    <w:rsid w:val="00AE5D15"/>
    <w:rsid w:val="00AE6EC7"/>
    <w:rsid w:val="00AF3DFF"/>
    <w:rsid w:val="00AF4372"/>
    <w:rsid w:val="00B04594"/>
    <w:rsid w:val="00B049BC"/>
    <w:rsid w:val="00B21CC3"/>
    <w:rsid w:val="00B23D5A"/>
    <w:rsid w:val="00B26459"/>
    <w:rsid w:val="00B27CD8"/>
    <w:rsid w:val="00B42C33"/>
    <w:rsid w:val="00B4565B"/>
    <w:rsid w:val="00B45EE4"/>
    <w:rsid w:val="00B47E38"/>
    <w:rsid w:val="00B532DB"/>
    <w:rsid w:val="00B5464F"/>
    <w:rsid w:val="00B55B59"/>
    <w:rsid w:val="00B56191"/>
    <w:rsid w:val="00B57242"/>
    <w:rsid w:val="00B6005C"/>
    <w:rsid w:val="00B6098D"/>
    <w:rsid w:val="00B65BC1"/>
    <w:rsid w:val="00B74144"/>
    <w:rsid w:val="00B74DB3"/>
    <w:rsid w:val="00B76816"/>
    <w:rsid w:val="00B803E7"/>
    <w:rsid w:val="00B83491"/>
    <w:rsid w:val="00B934F2"/>
    <w:rsid w:val="00B93D21"/>
    <w:rsid w:val="00B96A1E"/>
    <w:rsid w:val="00BA0785"/>
    <w:rsid w:val="00BA2173"/>
    <w:rsid w:val="00BA3DD7"/>
    <w:rsid w:val="00BB46BC"/>
    <w:rsid w:val="00BB691C"/>
    <w:rsid w:val="00BB7CB3"/>
    <w:rsid w:val="00BC207C"/>
    <w:rsid w:val="00BD3347"/>
    <w:rsid w:val="00BD50E5"/>
    <w:rsid w:val="00BD7129"/>
    <w:rsid w:val="00BE50EF"/>
    <w:rsid w:val="00BE5593"/>
    <w:rsid w:val="00BE5AA7"/>
    <w:rsid w:val="00BE6F40"/>
    <w:rsid w:val="00BF509E"/>
    <w:rsid w:val="00C00606"/>
    <w:rsid w:val="00C049DC"/>
    <w:rsid w:val="00C05823"/>
    <w:rsid w:val="00C221F5"/>
    <w:rsid w:val="00C23470"/>
    <w:rsid w:val="00C25609"/>
    <w:rsid w:val="00C30506"/>
    <w:rsid w:val="00C33944"/>
    <w:rsid w:val="00C34EB5"/>
    <w:rsid w:val="00C3664C"/>
    <w:rsid w:val="00C376F0"/>
    <w:rsid w:val="00C40EB5"/>
    <w:rsid w:val="00C41782"/>
    <w:rsid w:val="00C41A97"/>
    <w:rsid w:val="00C42407"/>
    <w:rsid w:val="00C45E98"/>
    <w:rsid w:val="00C4678E"/>
    <w:rsid w:val="00C47D09"/>
    <w:rsid w:val="00C500CB"/>
    <w:rsid w:val="00C6087A"/>
    <w:rsid w:val="00C6197A"/>
    <w:rsid w:val="00C71F3B"/>
    <w:rsid w:val="00C76B8D"/>
    <w:rsid w:val="00C85B24"/>
    <w:rsid w:val="00C85F24"/>
    <w:rsid w:val="00C90935"/>
    <w:rsid w:val="00C919B6"/>
    <w:rsid w:val="00C91F46"/>
    <w:rsid w:val="00C925AF"/>
    <w:rsid w:val="00C9617A"/>
    <w:rsid w:val="00C96A07"/>
    <w:rsid w:val="00C96FD0"/>
    <w:rsid w:val="00C97DC8"/>
    <w:rsid w:val="00C97FB5"/>
    <w:rsid w:val="00CA5016"/>
    <w:rsid w:val="00CB13DB"/>
    <w:rsid w:val="00CB3300"/>
    <w:rsid w:val="00CB60AC"/>
    <w:rsid w:val="00CC7278"/>
    <w:rsid w:val="00CD66FE"/>
    <w:rsid w:val="00CE05EA"/>
    <w:rsid w:val="00CE07EF"/>
    <w:rsid w:val="00CE3A14"/>
    <w:rsid w:val="00CE5F68"/>
    <w:rsid w:val="00CF31D5"/>
    <w:rsid w:val="00CF37AB"/>
    <w:rsid w:val="00CF4F2E"/>
    <w:rsid w:val="00CF4F52"/>
    <w:rsid w:val="00CF7D85"/>
    <w:rsid w:val="00D02877"/>
    <w:rsid w:val="00D03C71"/>
    <w:rsid w:val="00D069D9"/>
    <w:rsid w:val="00D10656"/>
    <w:rsid w:val="00D1147C"/>
    <w:rsid w:val="00D14287"/>
    <w:rsid w:val="00D14E27"/>
    <w:rsid w:val="00D17D62"/>
    <w:rsid w:val="00D234CF"/>
    <w:rsid w:val="00D25217"/>
    <w:rsid w:val="00D275F5"/>
    <w:rsid w:val="00D36052"/>
    <w:rsid w:val="00D36453"/>
    <w:rsid w:val="00D42D4B"/>
    <w:rsid w:val="00D44555"/>
    <w:rsid w:val="00D518D0"/>
    <w:rsid w:val="00D54443"/>
    <w:rsid w:val="00D55B89"/>
    <w:rsid w:val="00D56507"/>
    <w:rsid w:val="00D64F83"/>
    <w:rsid w:val="00D65103"/>
    <w:rsid w:val="00D65AE2"/>
    <w:rsid w:val="00D67DF3"/>
    <w:rsid w:val="00D70886"/>
    <w:rsid w:val="00D7150A"/>
    <w:rsid w:val="00D72BDE"/>
    <w:rsid w:val="00D755E2"/>
    <w:rsid w:val="00D760CF"/>
    <w:rsid w:val="00D84748"/>
    <w:rsid w:val="00D869CC"/>
    <w:rsid w:val="00D94C1F"/>
    <w:rsid w:val="00D95EE1"/>
    <w:rsid w:val="00D969F8"/>
    <w:rsid w:val="00D97EBE"/>
    <w:rsid w:val="00DA23FD"/>
    <w:rsid w:val="00DB003C"/>
    <w:rsid w:val="00DB0A9F"/>
    <w:rsid w:val="00DB1456"/>
    <w:rsid w:val="00DB32CD"/>
    <w:rsid w:val="00DB3E3A"/>
    <w:rsid w:val="00DB556D"/>
    <w:rsid w:val="00DB55C9"/>
    <w:rsid w:val="00DC110A"/>
    <w:rsid w:val="00DC4A31"/>
    <w:rsid w:val="00DD50BB"/>
    <w:rsid w:val="00DE0E9E"/>
    <w:rsid w:val="00DE2241"/>
    <w:rsid w:val="00DE3B32"/>
    <w:rsid w:val="00DE3D95"/>
    <w:rsid w:val="00DF33BC"/>
    <w:rsid w:val="00DF3C29"/>
    <w:rsid w:val="00DF5EAC"/>
    <w:rsid w:val="00DF6389"/>
    <w:rsid w:val="00E12A2F"/>
    <w:rsid w:val="00E14CAE"/>
    <w:rsid w:val="00E16322"/>
    <w:rsid w:val="00E165B2"/>
    <w:rsid w:val="00E175CF"/>
    <w:rsid w:val="00E235AD"/>
    <w:rsid w:val="00E35569"/>
    <w:rsid w:val="00E35FB7"/>
    <w:rsid w:val="00E44F5B"/>
    <w:rsid w:val="00E45184"/>
    <w:rsid w:val="00E474E0"/>
    <w:rsid w:val="00E5090C"/>
    <w:rsid w:val="00E528F7"/>
    <w:rsid w:val="00E52BD9"/>
    <w:rsid w:val="00E56437"/>
    <w:rsid w:val="00E56676"/>
    <w:rsid w:val="00E61983"/>
    <w:rsid w:val="00E64940"/>
    <w:rsid w:val="00E65331"/>
    <w:rsid w:val="00E6668A"/>
    <w:rsid w:val="00E7655E"/>
    <w:rsid w:val="00E77B47"/>
    <w:rsid w:val="00E844A9"/>
    <w:rsid w:val="00E8493C"/>
    <w:rsid w:val="00E85DB0"/>
    <w:rsid w:val="00E868B3"/>
    <w:rsid w:val="00E931CF"/>
    <w:rsid w:val="00E94E10"/>
    <w:rsid w:val="00E95E1E"/>
    <w:rsid w:val="00EA1138"/>
    <w:rsid w:val="00EA18E1"/>
    <w:rsid w:val="00EA3028"/>
    <w:rsid w:val="00EA5DC7"/>
    <w:rsid w:val="00EA686B"/>
    <w:rsid w:val="00EB2604"/>
    <w:rsid w:val="00EC4CF2"/>
    <w:rsid w:val="00EC5660"/>
    <w:rsid w:val="00EC58B3"/>
    <w:rsid w:val="00EC5F81"/>
    <w:rsid w:val="00ED2127"/>
    <w:rsid w:val="00ED38E9"/>
    <w:rsid w:val="00ED6DF5"/>
    <w:rsid w:val="00EE171C"/>
    <w:rsid w:val="00EE40ED"/>
    <w:rsid w:val="00EE4A2A"/>
    <w:rsid w:val="00F10B8F"/>
    <w:rsid w:val="00F1183F"/>
    <w:rsid w:val="00F221FA"/>
    <w:rsid w:val="00F2376F"/>
    <w:rsid w:val="00F23C09"/>
    <w:rsid w:val="00F36CF9"/>
    <w:rsid w:val="00F40568"/>
    <w:rsid w:val="00F4268B"/>
    <w:rsid w:val="00F4660B"/>
    <w:rsid w:val="00F50917"/>
    <w:rsid w:val="00F50CA2"/>
    <w:rsid w:val="00F53D86"/>
    <w:rsid w:val="00F713F4"/>
    <w:rsid w:val="00F75C3F"/>
    <w:rsid w:val="00F80C2B"/>
    <w:rsid w:val="00F84B26"/>
    <w:rsid w:val="00F87471"/>
    <w:rsid w:val="00F87E98"/>
    <w:rsid w:val="00F91675"/>
    <w:rsid w:val="00F95E0F"/>
    <w:rsid w:val="00FA0A8F"/>
    <w:rsid w:val="00FA0D1D"/>
    <w:rsid w:val="00FB00E5"/>
    <w:rsid w:val="00FB253B"/>
    <w:rsid w:val="00FB6843"/>
    <w:rsid w:val="00FC1018"/>
    <w:rsid w:val="00FC4C29"/>
    <w:rsid w:val="00FD1247"/>
    <w:rsid w:val="00FD1CA9"/>
    <w:rsid w:val="00FD5A77"/>
    <w:rsid w:val="00FD68B3"/>
    <w:rsid w:val="00FD726B"/>
    <w:rsid w:val="00FE4D85"/>
    <w:rsid w:val="00FE5F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F06143B"/>
  <w15:chartTrackingRefBased/>
  <w15:docId w15:val="{E006E291-0613-489E-8AE9-63A9253C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ACE"/>
    <w:pPr>
      <w:spacing w:after="0" w:line="240" w:lineRule="auto"/>
    </w:pPr>
    <w:rPr>
      <w:rFonts w:ascii="Times New Roman" w:eastAsia="Times New Roman" w:hAnsi="Times New Roman" w:cs="Times New Roman"/>
      <w:szCs w:val="20"/>
    </w:rPr>
  </w:style>
  <w:style w:type="paragraph" w:styleId="Heading1">
    <w:name w:val="heading 1"/>
    <w:aliases w:val="H1-Doc. Head"/>
    <w:basedOn w:val="Normal"/>
    <w:next w:val="L1-FlLSp12"/>
    <w:link w:val="Heading1Char"/>
    <w:qFormat/>
    <w:rsid w:val="00600ACE"/>
    <w:pPr>
      <w:keepNext/>
      <w:keepLines/>
      <w:spacing w:after="640"/>
      <w:jc w:val="center"/>
      <w:outlineLvl w:val="0"/>
    </w:pPr>
    <w:rPr>
      <w:b/>
      <w:sz w:val="32"/>
    </w:rPr>
  </w:style>
  <w:style w:type="paragraph" w:styleId="Heading2">
    <w:name w:val="heading 2"/>
    <w:aliases w:val="H2-Chap. Head"/>
    <w:basedOn w:val="Normal"/>
    <w:next w:val="L1-FlLSp12"/>
    <w:link w:val="Heading2Char"/>
    <w:qFormat/>
    <w:rsid w:val="00600ACE"/>
    <w:pPr>
      <w:keepNext/>
      <w:jc w:val="center"/>
      <w:outlineLvl w:val="1"/>
    </w:pPr>
    <w:rPr>
      <w:sz w:val="26"/>
    </w:rPr>
  </w:style>
  <w:style w:type="paragraph" w:styleId="Heading3">
    <w:name w:val="heading 3"/>
    <w:aliases w:val="H3-Sec. Head"/>
    <w:basedOn w:val="Normal"/>
    <w:next w:val="L1-FlLSp12"/>
    <w:link w:val="Heading3Char"/>
    <w:qFormat/>
    <w:rsid w:val="00600ACE"/>
    <w:pPr>
      <w:keepNext/>
      <w:spacing w:after="640"/>
      <w:ind w:left="1152" w:hanging="1152"/>
      <w:jc w:val="center"/>
      <w:outlineLvl w:val="2"/>
    </w:pPr>
    <w:rPr>
      <w:lang w:val="en"/>
    </w:rPr>
  </w:style>
  <w:style w:type="paragraph" w:styleId="Heading4">
    <w:name w:val="heading 4"/>
    <w:aliases w:val="H4-Sec. Head"/>
    <w:basedOn w:val="Normal"/>
    <w:next w:val="L1-FlLSp12"/>
    <w:link w:val="Heading4Char"/>
    <w:qFormat/>
    <w:rsid w:val="00600ACE"/>
    <w:pPr>
      <w:keepNext/>
      <w:outlineLvl w:val="3"/>
    </w:pPr>
    <w:rPr>
      <w:b/>
    </w:rPr>
  </w:style>
  <w:style w:type="paragraph" w:styleId="Heading5">
    <w:name w:val="heading 5"/>
    <w:aliases w:val="H5-Sec. Head"/>
    <w:basedOn w:val="Normal"/>
    <w:next w:val="L1-FlLSp12"/>
    <w:link w:val="Heading5Char"/>
    <w:qFormat/>
    <w:rsid w:val="00600ACE"/>
    <w:pPr>
      <w:keepNext/>
      <w:ind w:left="1152" w:hanging="1152"/>
      <w:outlineLvl w:val="4"/>
    </w:pPr>
    <w:rPr>
      <w:i/>
      <w:lang w:val="en"/>
    </w:rPr>
  </w:style>
  <w:style w:type="paragraph" w:styleId="Heading6">
    <w:name w:val="heading 6"/>
    <w:aliases w:val="H6-Sec. Head"/>
    <w:basedOn w:val="Normal"/>
    <w:next w:val="L1-FlLSp12"/>
    <w:link w:val="Heading6Char"/>
    <w:qFormat/>
    <w:rsid w:val="00600ACE"/>
    <w:pPr>
      <w:keepNext/>
      <w:spacing w:before="480" w:after="240"/>
      <w:ind w:left="1152" w:hanging="1152"/>
      <w:outlineLvl w:val="5"/>
    </w:pPr>
    <w:rPr>
      <w:b/>
      <w:i/>
      <w:sz w:val="24"/>
    </w:rPr>
  </w:style>
  <w:style w:type="paragraph" w:styleId="Heading7">
    <w:name w:val="heading 7"/>
    <w:basedOn w:val="Normal"/>
    <w:next w:val="Normal"/>
    <w:link w:val="Heading7Char"/>
    <w:semiHidden/>
    <w:qFormat/>
    <w:rsid w:val="00600ACE"/>
    <w:pPr>
      <w:numPr>
        <w:ilvl w:val="5"/>
        <w:numId w:val="35"/>
      </w:numPr>
      <w:spacing w:before="240" w:after="60"/>
      <w:outlineLvl w:val="6"/>
    </w:pPr>
  </w:style>
  <w:style w:type="paragraph" w:styleId="Heading8">
    <w:name w:val="heading 8"/>
    <w:basedOn w:val="Normal"/>
    <w:next w:val="Normal"/>
    <w:link w:val="Heading8Char"/>
    <w:uiPriority w:val="9"/>
    <w:semiHidden/>
    <w:unhideWhenUsed/>
    <w:qFormat/>
    <w:rsid w:val="00600ACE"/>
    <w:pPr>
      <w:keepNext/>
      <w:keepLines/>
      <w:numPr>
        <w:ilvl w:val="6"/>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0ACE"/>
    <w:pPr>
      <w:keepNext/>
      <w:keepLines/>
      <w:numPr>
        <w:ilvl w:val="7"/>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aliases w:val="H1-Doc. Head Char"/>
    <w:basedOn w:val="DefaultParagraphFont"/>
    <w:link w:val="Heading1"/>
    <w:rsid w:val="00600ACE"/>
    <w:rPr>
      <w:rFonts w:ascii="Times New Roman" w:eastAsia="Times New Roman" w:hAnsi="Times New Roman" w:cs="Times New Roman"/>
      <w:b/>
      <w:sz w:val="32"/>
      <w:szCs w:val="20"/>
    </w:rPr>
  </w:style>
  <w:style w:type="character" w:customStyle="1" w:styleId="Heading2Char">
    <w:name w:val="Heading 2 Char"/>
    <w:aliases w:val="H2-Chap. Head Char"/>
    <w:basedOn w:val="DefaultParagraphFont"/>
    <w:link w:val="Heading2"/>
    <w:rsid w:val="00600ACE"/>
    <w:rPr>
      <w:rFonts w:ascii="Times New Roman" w:eastAsia="Times New Roman" w:hAnsi="Times New Roman" w:cs="Times New Roman"/>
      <w:sz w:val="26"/>
      <w:szCs w:val="20"/>
    </w:rPr>
  </w:style>
  <w:style w:type="character" w:customStyle="1" w:styleId="Heading3Char">
    <w:name w:val="Heading 3 Char"/>
    <w:aliases w:val="H3-Sec. Head Char"/>
    <w:basedOn w:val="DefaultParagraphFont"/>
    <w:link w:val="Heading3"/>
    <w:rsid w:val="00600ACE"/>
    <w:rPr>
      <w:rFonts w:ascii="Times New Roman" w:eastAsia="Times New Roman" w:hAnsi="Times New Roman" w:cs="Times New Roman"/>
      <w:szCs w:val="20"/>
      <w:lang w:val="en"/>
    </w:rPr>
  </w:style>
  <w:style w:type="paragraph" w:customStyle="1" w:styleId="AuthorAffiliation">
    <w:name w:val="Author Affiliation"/>
    <w:basedOn w:val="Normal"/>
    <w:link w:val="AuthorAffiliationChar"/>
    <w:qFormat/>
    <w:rsid w:val="00600ACE"/>
    <w:pPr>
      <w:jc w:val="center"/>
    </w:pPr>
    <w:rPr>
      <w:rFonts w:eastAsia="SimSun"/>
      <w:szCs w:val="22"/>
      <w:lang w:val="en-CA"/>
    </w:rPr>
  </w:style>
  <w:style w:type="character" w:customStyle="1" w:styleId="AuthorAffiliationChar">
    <w:name w:val="Author Affiliation Char"/>
    <w:basedOn w:val="DefaultParagraphFont"/>
    <w:link w:val="AuthorAffiliation"/>
    <w:rsid w:val="00600ACE"/>
    <w:rPr>
      <w:rFonts w:ascii="Times New Roman" w:eastAsia="SimSun" w:hAnsi="Times New Roman" w:cs="Times New Roman"/>
      <w:lang w:val="en-CA"/>
    </w:rPr>
  </w:style>
  <w:style w:type="character" w:customStyle="1" w:styleId="Heading4Char">
    <w:name w:val="Heading 4 Char"/>
    <w:aliases w:val="H4-Sec. Head Char"/>
    <w:basedOn w:val="DefaultParagraphFont"/>
    <w:link w:val="Heading4"/>
    <w:rsid w:val="00600ACE"/>
    <w:rPr>
      <w:rFonts w:ascii="Times New Roman" w:eastAsia="Times New Roman" w:hAnsi="Times New Roman" w:cs="Times New Roman"/>
      <w:b/>
      <w:szCs w:val="20"/>
    </w:rPr>
  </w:style>
  <w:style w:type="numbering" w:styleId="111111">
    <w:name w:val="Outline List 2"/>
    <w:basedOn w:val="NoList"/>
    <w:semiHidden/>
    <w:pPr>
      <w:numPr>
        <w:numId w:val="1"/>
      </w:numPr>
    </w:pPr>
  </w:style>
  <w:style w:type="paragraph" w:customStyle="1" w:styleId="L1-FlLSp12">
    <w:name w:val="L1-FlL Sp&amp;1/2"/>
    <w:basedOn w:val="Normal"/>
    <w:rsid w:val="00600ACE"/>
    <w:pPr>
      <w:tabs>
        <w:tab w:val="left" w:pos="1152"/>
      </w:tabs>
      <w:jc w:val="both"/>
    </w:pPr>
  </w:style>
  <w:style w:type="paragraph" w:styleId="ListParagraph">
    <w:name w:val="List Paragraph"/>
    <w:basedOn w:val="Normal"/>
    <w:uiPriority w:val="34"/>
    <w:qFormat/>
    <w:rsid w:val="00600ACE"/>
    <w:pPr>
      <w:ind w:left="720"/>
      <w:contextualSpacing/>
    </w:pPr>
  </w:style>
  <w:style w:type="paragraph" w:customStyle="1" w:styleId="PrimarySubhead">
    <w:name w:val="Primary Subhead"/>
    <w:basedOn w:val="Normal"/>
    <w:next w:val="Normal"/>
    <w:link w:val="PrimarySubheadChar"/>
    <w:autoRedefine/>
    <w:rsid w:val="00600ACE"/>
    <w:pPr>
      <w:jc w:val="center"/>
    </w:pPr>
    <w:rPr>
      <w:rFonts w:eastAsia="MS Mincho"/>
      <w:b/>
      <w:sz w:val="24"/>
      <w:szCs w:val="24"/>
      <w:lang w:val="en-CA"/>
    </w:rPr>
  </w:style>
  <w:style w:type="table" w:styleId="TableGrid">
    <w:name w:val="Table Grid"/>
    <w:basedOn w:val="TableNormal"/>
    <w:uiPriority w:val="59"/>
    <w:rsid w:val="00600A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autoRedefine/>
    <w:rsid w:val="00600ACE"/>
    <w:pPr>
      <w:jc w:val="both"/>
    </w:pPr>
    <w:rPr>
      <w:rFonts w:eastAsia="SimSun"/>
      <w:szCs w:val="22"/>
      <w:lang w:val="en-CA"/>
    </w:rPr>
  </w:style>
  <w:style w:type="character" w:customStyle="1" w:styleId="BodyCopyChar">
    <w:name w:val="Body Copy Char"/>
    <w:basedOn w:val="DefaultParagraphFont"/>
    <w:link w:val="BodyCopy"/>
    <w:rsid w:val="00600ACE"/>
    <w:rPr>
      <w:rFonts w:ascii="Times New Roman" w:eastAsia="SimSun" w:hAnsi="Times New Roman" w:cs="Times New Roman"/>
      <w:lang w:val="en-CA"/>
    </w:rPr>
  </w:style>
  <w:style w:type="paragraph" w:customStyle="1" w:styleId="References">
    <w:name w:val="References"/>
    <w:basedOn w:val="Normal"/>
    <w:link w:val="ReferencesChar"/>
    <w:autoRedefine/>
    <w:rsid w:val="00600ACE"/>
    <w:pPr>
      <w:ind w:left="360" w:hanging="360"/>
      <w:jc w:val="both"/>
    </w:pPr>
    <w:rPr>
      <w:rFonts w:eastAsia="SimSun"/>
      <w:sz w:val="20"/>
      <w:szCs w:val="24"/>
      <w:lang w:val="en-CA"/>
    </w:rPr>
  </w:style>
  <w:style w:type="paragraph" w:customStyle="1" w:styleId="FigureCaptions">
    <w:name w:val="Figure Captions"/>
    <w:basedOn w:val="References"/>
    <w:link w:val="FigureCaptionsChar"/>
    <w:autoRedefine/>
    <w:rsid w:val="00600ACE"/>
    <w:pPr>
      <w:ind w:left="0" w:firstLine="0"/>
    </w:pPr>
  </w:style>
  <w:style w:type="paragraph" w:customStyle="1" w:styleId="SecondarySubhead">
    <w:name w:val="Secondary Subhead"/>
    <w:basedOn w:val="Normal"/>
    <w:rsid w:val="00600ACE"/>
    <w:rPr>
      <w:rFonts w:eastAsia="SimSun"/>
      <w:b/>
      <w:sz w:val="24"/>
      <w:szCs w:val="24"/>
      <w:lang w:val="en-CA"/>
    </w:rPr>
  </w:style>
  <w:style w:type="paragraph" w:customStyle="1" w:styleId="Subhead1">
    <w:name w:val="Subhead1"/>
    <w:basedOn w:val="PrimarySubhead"/>
    <w:link w:val="Subhead1Char"/>
    <w:qFormat/>
    <w:rsid w:val="00600ACE"/>
  </w:style>
  <w:style w:type="character" w:customStyle="1" w:styleId="PrimarySubheadChar">
    <w:name w:val="Primary Subhead Char"/>
    <w:basedOn w:val="DefaultParagraphFont"/>
    <w:link w:val="PrimarySubhead"/>
    <w:rsid w:val="00600ACE"/>
    <w:rPr>
      <w:rFonts w:ascii="Times New Roman" w:eastAsia="MS Mincho" w:hAnsi="Times New Roman" w:cs="Times New Roman"/>
      <w:b/>
      <w:sz w:val="24"/>
      <w:szCs w:val="24"/>
      <w:lang w:val="en-CA"/>
    </w:rPr>
  </w:style>
  <w:style w:type="character" w:customStyle="1" w:styleId="Subhead1Char">
    <w:name w:val="Subhead1 Char"/>
    <w:basedOn w:val="PrimarySubheadChar"/>
    <w:link w:val="Subhead1"/>
    <w:rsid w:val="00600ACE"/>
    <w:rPr>
      <w:rFonts w:ascii="Times New Roman" w:eastAsia="MS Mincho" w:hAnsi="Times New Roman" w:cs="Times New Roman"/>
      <w:b/>
      <w:sz w:val="24"/>
      <w:szCs w:val="24"/>
      <w:lang w:val="en-CA"/>
    </w:rPr>
  </w:style>
  <w:style w:type="paragraph" w:customStyle="1" w:styleId="Body">
    <w:name w:val="Body"/>
    <w:basedOn w:val="BodyCopy"/>
    <w:link w:val="BodyChar"/>
    <w:qFormat/>
    <w:rsid w:val="00600ACE"/>
  </w:style>
  <w:style w:type="character" w:customStyle="1" w:styleId="BodyChar">
    <w:name w:val="Body Char"/>
    <w:basedOn w:val="BodyCopyChar"/>
    <w:link w:val="Body"/>
    <w:rsid w:val="00600ACE"/>
    <w:rPr>
      <w:rFonts w:ascii="Times New Roman" w:eastAsia="SimSun" w:hAnsi="Times New Roman" w:cs="Times New Roman"/>
      <w:lang w:val="en-CA"/>
    </w:rPr>
  </w:style>
  <w:style w:type="character" w:customStyle="1" w:styleId="ReferencesChar">
    <w:name w:val="References Char"/>
    <w:basedOn w:val="DefaultParagraphFont"/>
    <w:link w:val="References"/>
    <w:rsid w:val="00600ACE"/>
    <w:rPr>
      <w:rFonts w:ascii="Times New Roman" w:eastAsia="SimSun" w:hAnsi="Times New Roman" w:cs="Times New Roman"/>
      <w:sz w:val="20"/>
      <w:szCs w:val="24"/>
      <w:lang w:val="en-CA"/>
    </w:rPr>
  </w:style>
  <w:style w:type="character" w:customStyle="1" w:styleId="FigureCaptionsChar">
    <w:name w:val="Figure Captions Char"/>
    <w:basedOn w:val="ReferencesChar"/>
    <w:link w:val="FigureCaptions"/>
    <w:rsid w:val="00600ACE"/>
    <w:rPr>
      <w:rFonts w:ascii="Times New Roman" w:eastAsia="SimSun" w:hAnsi="Times New Roman" w:cs="Times New Roman"/>
      <w:sz w:val="20"/>
      <w:szCs w:val="24"/>
      <w:lang w:val="en-CA"/>
    </w:rPr>
  </w:style>
  <w:style w:type="character" w:styleId="CommentReference">
    <w:name w:val="annotation reference"/>
    <w:basedOn w:val="DefaultParagraphFont"/>
    <w:uiPriority w:val="99"/>
    <w:semiHidden/>
    <w:unhideWhenUsed/>
    <w:rsid w:val="00600ACE"/>
    <w:rPr>
      <w:sz w:val="16"/>
      <w:szCs w:val="16"/>
    </w:rPr>
  </w:style>
  <w:style w:type="paragraph" w:styleId="CommentText">
    <w:name w:val="annotation text"/>
    <w:basedOn w:val="Normal"/>
    <w:link w:val="CommentTextChar"/>
    <w:uiPriority w:val="99"/>
    <w:unhideWhenUsed/>
    <w:rsid w:val="00600ACE"/>
    <w:rPr>
      <w:sz w:val="20"/>
    </w:rPr>
  </w:style>
  <w:style w:type="character" w:customStyle="1" w:styleId="CommentTextChar">
    <w:name w:val="Comment Text Char"/>
    <w:basedOn w:val="DefaultParagraphFont"/>
    <w:link w:val="CommentText"/>
    <w:uiPriority w:val="99"/>
    <w:rsid w:val="00600AC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00ACE"/>
    <w:rPr>
      <w:rFonts w:ascii="Tahoma" w:hAnsi="Tahoma" w:cs="Tahoma"/>
      <w:sz w:val="16"/>
      <w:szCs w:val="16"/>
    </w:rPr>
  </w:style>
  <w:style w:type="character" w:customStyle="1" w:styleId="BalloonTextChar">
    <w:name w:val="Balloon Text Char"/>
    <w:basedOn w:val="DefaultParagraphFont"/>
    <w:link w:val="BalloonText"/>
    <w:uiPriority w:val="99"/>
    <w:semiHidden/>
    <w:rsid w:val="00600ACE"/>
    <w:rPr>
      <w:rFonts w:ascii="Tahoma" w:eastAsia="Times New Roman" w:hAnsi="Tahoma" w:cs="Tahoma"/>
      <w:sz w:val="16"/>
      <w:szCs w:val="16"/>
    </w:rPr>
  </w:style>
  <w:style w:type="paragraph" w:customStyle="1" w:styleId="N0-FlLftBullet">
    <w:name w:val="N0-Fl Lft Bullet"/>
    <w:basedOn w:val="Normal"/>
    <w:rsid w:val="00600ACE"/>
    <w:pPr>
      <w:tabs>
        <w:tab w:val="left" w:pos="576"/>
      </w:tabs>
      <w:ind w:left="360" w:hanging="360"/>
      <w:jc w:val="both"/>
    </w:pPr>
  </w:style>
  <w:style w:type="character" w:styleId="Hyperlink">
    <w:name w:val="Hyperlink"/>
    <w:basedOn w:val="DefaultParagraphFont"/>
    <w:uiPriority w:val="99"/>
    <w:semiHidden/>
    <w:rsid w:val="00600ACE"/>
    <w:rPr>
      <w:color w:val="0563C1" w:themeColor="hyperlink"/>
      <w:u w:val="single"/>
    </w:rPr>
  </w:style>
  <w:style w:type="paragraph" w:customStyle="1" w:styleId="TT-TableTitle">
    <w:name w:val="TT-Table Title"/>
    <w:basedOn w:val="Normal"/>
    <w:rsid w:val="00600ACE"/>
    <w:pPr>
      <w:keepNext/>
      <w:keepLines/>
      <w:tabs>
        <w:tab w:val="left" w:pos="1440"/>
      </w:tabs>
      <w:spacing w:after="240"/>
      <w:jc w:val="center"/>
    </w:pPr>
    <w:rPr>
      <w:b/>
    </w:rPr>
  </w:style>
  <w:style w:type="table" w:styleId="PlainTable2">
    <w:name w:val="Plain Table 2"/>
    <w:basedOn w:val="TableNormal"/>
    <w:uiPriority w:val="42"/>
    <w:pPr>
      <w:spacing w:after="0" w:line="240" w:lineRule="auto"/>
    </w:pPr>
    <w:rPr>
      <w:rFonts w:ascii="Times New Roman" w:eastAsiaTheme="minorEastAsia"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H-TableHeading">
    <w:name w:val="TH-Table Heading"/>
    <w:basedOn w:val="Normal"/>
    <w:rsid w:val="00600ACE"/>
    <w:pPr>
      <w:keepNext/>
      <w:keepLines/>
    </w:pPr>
    <w:rPr>
      <w:i/>
    </w:rPr>
  </w:style>
  <w:style w:type="paragraph" w:customStyle="1" w:styleId="TX-TableText">
    <w:name w:val="TX-Table Text"/>
    <w:basedOn w:val="Normal"/>
    <w:rsid w:val="00600ACE"/>
  </w:style>
  <w:style w:type="paragraph" w:customStyle="1" w:styleId="E1-Equation">
    <w:name w:val="E1-Equation"/>
    <w:basedOn w:val="Normal"/>
    <w:rsid w:val="00600ACE"/>
    <w:pPr>
      <w:tabs>
        <w:tab w:val="center" w:pos="4680"/>
        <w:tab w:val="right" w:pos="9360"/>
      </w:tabs>
      <w:spacing w:after="240"/>
    </w:pPr>
  </w:style>
  <w:style w:type="paragraph" w:styleId="Header">
    <w:name w:val="header"/>
    <w:basedOn w:val="Normal"/>
    <w:link w:val="HeaderChar"/>
    <w:rsid w:val="00600ACE"/>
    <w:rPr>
      <w:sz w:val="20"/>
    </w:rPr>
  </w:style>
  <w:style w:type="character" w:customStyle="1" w:styleId="HeaderChar">
    <w:name w:val="Header Char"/>
    <w:basedOn w:val="DefaultParagraphFont"/>
    <w:link w:val="Header"/>
    <w:rsid w:val="00600ACE"/>
    <w:rPr>
      <w:rFonts w:ascii="Times New Roman" w:eastAsia="Times New Roman" w:hAnsi="Times New Roman" w:cs="Times New Roman"/>
      <w:sz w:val="20"/>
      <w:szCs w:val="20"/>
    </w:rPr>
  </w:style>
  <w:style w:type="paragraph" w:styleId="Footer">
    <w:name w:val="footer"/>
    <w:basedOn w:val="Normal"/>
    <w:link w:val="FooterChar"/>
    <w:rsid w:val="00600ACE"/>
  </w:style>
  <w:style w:type="character" w:customStyle="1" w:styleId="FooterChar">
    <w:name w:val="Footer Char"/>
    <w:basedOn w:val="DefaultParagraphFont"/>
    <w:link w:val="Footer"/>
    <w:rsid w:val="00600A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600ACE"/>
    <w:rPr>
      <w:b/>
      <w:bCs/>
    </w:rPr>
  </w:style>
  <w:style w:type="character" w:customStyle="1" w:styleId="CommentSubjectChar">
    <w:name w:val="Comment Subject Char"/>
    <w:basedOn w:val="CommentTextChar"/>
    <w:link w:val="CommentSubject"/>
    <w:uiPriority w:val="99"/>
    <w:semiHidden/>
    <w:rsid w:val="00600ACE"/>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customStyle="1" w:styleId="Heading5Char">
    <w:name w:val="Heading 5 Char"/>
    <w:aliases w:val="H5-Sec. Head Char"/>
    <w:basedOn w:val="DefaultParagraphFont"/>
    <w:link w:val="Heading5"/>
    <w:rsid w:val="00600ACE"/>
    <w:rPr>
      <w:rFonts w:ascii="Times New Roman" w:eastAsia="Times New Roman" w:hAnsi="Times New Roman" w:cs="Times New Roman"/>
      <w:i/>
      <w:szCs w:val="20"/>
      <w:lang w:val="en"/>
    </w:rPr>
  </w:style>
  <w:style w:type="character" w:customStyle="1" w:styleId="Heading6Char">
    <w:name w:val="Heading 6 Char"/>
    <w:aliases w:val="H6-Sec. Head Char"/>
    <w:basedOn w:val="DefaultParagraphFont"/>
    <w:link w:val="Heading6"/>
    <w:rsid w:val="00600ACE"/>
    <w:rPr>
      <w:rFonts w:ascii="Times New Roman" w:eastAsia="Times New Roman" w:hAnsi="Times New Roman" w:cs="Times New Roman"/>
      <w:b/>
      <w:i/>
      <w:sz w:val="24"/>
      <w:szCs w:val="20"/>
    </w:rPr>
  </w:style>
  <w:style w:type="character" w:customStyle="1" w:styleId="Heading7Char">
    <w:name w:val="Heading 7 Char"/>
    <w:basedOn w:val="DefaultParagraphFont"/>
    <w:link w:val="Heading7"/>
    <w:semiHidden/>
    <w:rsid w:val="0078059D"/>
    <w:rPr>
      <w:rFonts w:ascii="Times New Roman" w:eastAsia="Times New Roman" w:hAnsi="Times New Roman" w:cs="Times New Roman"/>
      <w:szCs w:val="20"/>
    </w:rPr>
  </w:style>
  <w:style w:type="character" w:customStyle="1" w:styleId="Heading8Char">
    <w:name w:val="Heading 8 Char"/>
    <w:basedOn w:val="DefaultParagraphFont"/>
    <w:link w:val="Heading8"/>
    <w:uiPriority w:val="9"/>
    <w:semiHidden/>
    <w:rsid w:val="00600A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00ACE"/>
    <w:rPr>
      <w:rFonts w:asciiTheme="majorHAnsi" w:eastAsiaTheme="majorEastAsia" w:hAnsiTheme="majorHAnsi" w:cstheme="majorBidi"/>
      <w:i/>
      <w:iCs/>
      <w:color w:val="272727" w:themeColor="text1" w:themeTint="D8"/>
      <w:sz w:val="21"/>
      <w:szCs w:val="21"/>
    </w:rPr>
  </w:style>
  <w:style w:type="paragraph" w:customStyle="1" w:styleId="C1-CtrBoldHd">
    <w:name w:val="C1-Ctr BoldHd"/>
    <w:basedOn w:val="Normal"/>
    <w:rsid w:val="00600ACE"/>
    <w:pPr>
      <w:keepNext/>
      <w:spacing w:after="240"/>
      <w:jc w:val="center"/>
    </w:pPr>
    <w:rPr>
      <w:b/>
    </w:rPr>
  </w:style>
  <w:style w:type="paragraph" w:customStyle="1" w:styleId="C2-CtrSglSp">
    <w:name w:val="C2-Ctr Sgl Sp"/>
    <w:basedOn w:val="Normal"/>
    <w:rsid w:val="00600ACE"/>
    <w:pPr>
      <w:keepLines/>
      <w:spacing w:after="240"/>
      <w:jc w:val="center"/>
    </w:pPr>
  </w:style>
  <w:style w:type="paragraph" w:customStyle="1" w:styleId="C3-CtrSp12">
    <w:name w:val="C3-Ctr Sp&amp;1/2"/>
    <w:semiHidden/>
    <w:rsid w:val="00600ACE"/>
    <w:pPr>
      <w:keepLines/>
      <w:spacing w:after="0" w:line="360" w:lineRule="auto"/>
      <w:jc w:val="center"/>
    </w:pPr>
    <w:rPr>
      <w:rFonts w:ascii="Garamond" w:eastAsia="Times New Roman" w:hAnsi="Garamond" w:cs="Times New Roman"/>
      <w:sz w:val="24"/>
      <w:szCs w:val="20"/>
    </w:rPr>
  </w:style>
  <w:style w:type="paragraph" w:customStyle="1" w:styleId="E2-Equation">
    <w:name w:val="E2-Equation"/>
    <w:basedOn w:val="Normal"/>
    <w:rsid w:val="00600ACE"/>
    <w:pPr>
      <w:tabs>
        <w:tab w:val="right" w:pos="1152"/>
        <w:tab w:val="center" w:pos="1440"/>
        <w:tab w:val="left" w:pos="1728"/>
      </w:tabs>
      <w:spacing w:after="240"/>
      <w:ind w:left="1728" w:hanging="1728"/>
    </w:pPr>
  </w:style>
  <w:style w:type="paragraph" w:styleId="FootnoteText">
    <w:name w:val="footnote text"/>
    <w:aliases w:val="F1"/>
    <w:basedOn w:val="Normal"/>
    <w:link w:val="FootnoteTextChar"/>
    <w:rsid w:val="00600ACE"/>
    <w:pPr>
      <w:tabs>
        <w:tab w:val="left" w:pos="120"/>
      </w:tabs>
      <w:ind w:left="115" w:hanging="115"/>
    </w:pPr>
    <w:rPr>
      <w:sz w:val="20"/>
    </w:rPr>
  </w:style>
  <w:style w:type="character" w:customStyle="1" w:styleId="FootnoteTextChar">
    <w:name w:val="Footnote Text Char"/>
    <w:aliases w:val="F1 Char"/>
    <w:basedOn w:val="DefaultParagraphFont"/>
    <w:link w:val="FootnoteText"/>
    <w:rsid w:val="00600ACE"/>
    <w:rPr>
      <w:rFonts w:ascii="Times New Roman" w:eastAsia="Times New Roman" w:hAnsi="Times New Roman" w:cs="Times New Roman"/>
      <w:sz w:val="20"/>
      <w:szCs w:val="20"/>
    </w:rPr>
  </w:style>
  <w:style w:type="paragraph" w:customStyle="1" w:styleId="N1-1stBullet">
    <w:name w:val="N1-1st Bullet"/>
    <w:basedOn w:val="Normal"/>
    <w:link w:val="N1-1stBulletChar"/>
    <w:rsid w:val="00600ACE"/>
    <w:pPr>
      <w:numPr>
        <w:numId w:val="44"/>
      </w:numPr>
      <w:ind w:left="360"/>
    </w:pPr>
  </w:style>
  <w:style w:type="paragraph" w:customStyle="1" w:styleId="N2-2ndBullet">
    <w:name w:val="N2-2nd Bullet"/>
    <w:basedOn w:val="Normal"/>
    <w:rsid w:val="00600ACE"/>
    <w:pPr>
      <w:numPr>
        <w:numId w:val="19"/>
      </w:numPr>
      <w:spacing w:after="240"/>
    </w:pPr>
  </w:style>
  <w:style w:type="paragraph" w:customStyle="1" w:styleId="N3-3rdBullet">
    <w:name w:val="N3-3rd Bullet"/>
    <w:basedOn w:val="Normal"/>
    <w:rsid w:val="00600ACE"/>
    <w:pPr>
      <w:numPr>
        <w:numId w:val="24"/>
      </w:numPr>
      <w:spacing w:after="240"/>
    </w:pPr>
  </w:style>
  <w:style w:type="paragraph" w:customStyle="1" w:styleId="N4-4thBullet">
    <w:name w:val="N4-4th Bullet"/>
    <w:basedOn w:val="Normal"/>
    <w:rsid w:val="00600ACE"/>
    <w:pPr>
      <w:numPr>
        <w:numId w:val="25"/>
      </w:numPr>
      <w:spacing w:after="240"/>
    </w:pPr>
  </w:style>
  <w:style w:type="paragraph" w:customStyle="1" w:styleId="N5-5thBullet">
    <w:name w:val="N5-5th Bullet"/>
    <w:basedOn w:val="Normal"/>
    <w:rsid w:val="00600ACE"/>
    <w:pPr>
      <w:tabs>
        <w:tab w:val="left" w:pos="3456"/>
      </w:tabs>
      <w:ind w:left="3456" w:hanging="576"/>
    </w:pPr>
  </w:style>
  <w:style w:type="paragraph" w:customStyle="1" w:styleId="N6-DateInd">
    <w:name w:val="N6-Date Ind."/>
    <w:basedOn w:val="Normal"/>
    <w:semiHidden/>
    <w:rsid w:val="00600ACE"/>
    <w:pPr>
      <w:tabs>
        <w:tab w:val="left" w:pos="4896"/>
      </w:tabs>
      <w:spacing w:after="240"/>
      <w:ind w:left="4896"/>
    </w:pPr>
  </w:style>
  <w:style w:type="paragraph" w:customStyle="1" w:styleId="N7-3Block">
    <w:name w:val="N7-3&quot; Block"/>
    <w:basedOn w:val="Normal"/>
    <w:rsid w:val="00600ACE"/>
    <w:pPr>
      <w:tabs>
        <w:tab w:val="left" w:pos="1152"/>
      </w:tabs>
      <w:spacing w:after="240"/>
      <w:ind w:left="1152" w:right="1152"/>
    </w:pPr>
  </w:style>
  <w:style w:type="paragraph" w:customStyle="1" w:styleId="N8-QxQBlock">
    <w:name w:val="N8-QxQ Block"/>
    <w:basedOn w:val="Normal"/>
    <w:semiHidden/>
    <w:rsid w:val="00600ACE"/>
    <w:pPr>
      <w:tabs>
        <w:tab w:val="left" w:pos="1152"/>
      </w:tabs>
      <w:spacing w:after="240" w:line="360" w:lineRule="auto"/>
      <w:ind w:left="1152" w:hanging="1152"/>
    </w:pPr>
    <w:rPr>
      <w:lang w:val="en"/>
    </w:rPr>
  </w:style>
  <w:style w:type="paragraph" w:customStyle="1" w:styleId="P1-StandPara">
    <w:name w:val="P1-Stand Para"/>
    <w:basedOn w:val="Normal"/>
    <w:rsid w:val="00600ACE"/>
    <w:pPr>
      <w:spacing w:after="240"/>
      <w:ind w:firstLine="576"/>
    </w:pPr>
  </w:style>
  <w:style w:type="paragraph" w:customStyle="1" w:styleId="Q1-BestFinQ">
    <w:name w:val="Q1-Best/Fin Q"/>
    <w:basedOn w:val="Normal"/>
    <w:rsid w:val="00600ACE"/>
    <w:pPr>
      <w:keepNext/>
      <w:spacing w:after="360"/>
      <w:ind w:left="1152" w:hanging="1152"/>
    </w:pPr>
    <w:rPr>
      <w:rFonts w:cs="Times New Roman Bold"/>
      <w:b/>
    </w:rPr>
  </w:style>
  <w:style w:type="paragraph" w:customStyle="1" w:styleId="SH-SglSpHead">
    <w:name w:val="SH-Sgl Sp Head"/>
    <w:basedOn w:val="Normal"/>
    <w:rsid w:val="00600ACE"/>
    <w:pPr>
      <w:keepNext/>
      <w:keepLines/>
      <w:tabs>
        <w:tab w:val="left" w:pos="576"/>
      </w:tabs>
      <w:ind w:left="576" w:hanging="576"/>
    </w:pPr>
    <w:rPr>
      <w:color w:val="00467F"/>
    </w:rPr>
  </w:style>
  <w:style w:type="paragraph" w:customStyle="1" w:styleId="SL-FlLftSgl">
    <w:name w:val="SL-Fl Lft Sgl"/>
    <w:basedOn w:val="Normal"/>
    <w:rsid w:val="00600ACE"/>
    <w:pPr>
      <w:jc w:val="center"/>
    </w:pPr>
    <w:rPr>
      <w:rFonts w:ascii="Times New Roman Bold" w:hAnsi="Times New Roman Bold"/>
      <w:b/>
    </w:rPr>
  </w:style>
  <w:style w:type="paragraph" w:customStyle="1" w:styleId="SP-SglSpPara">
    <w:name w:val="SP-Sgl Sp Para"/>
    <w:basedOn w:val="Normal"/>
    <w:rsid w:val="00600ACE"/>
    <w:pPr>
      <w:tabs>
        <w:tab w:val="left" w:pos="576"/>
      </w:tabs>
      <w:ind w:firstLine="576"/>
    </w:pPr>
  </w:style>
  <w:style w:type="paragraph" w:customStyle="1" w:styleId="T0-ChapPgHd">
    <w:name w:val="T0-Chap/Pg Hd"/>
    <w:basedOn w:val="Normal"/>
    <w:rsid w:val="00600ACE"/>
    <w:pPr>
      <w:tabs>
        <w:tab w:val="left" w:pos="8640"/>
      </w:tabs>
      <w:spacing w:before="480" w:after="240"/>
    </w:pPr>
    <w:rPr>
      <w:u w:val="words"/>
    </w:rPr>
  </w:style>
  <w:style w:type="paragraph" w:styleId="TOC1">
    <w:name w:val="toc 1"/>
    <w:basedOn w:val="Normal"/>
    <w:rsid w:val="00600ACE"/>
    <w:pPr>
      <w:tabs>
        <w:tab w:val="left" w:pos="1440"/>
        <w:tab w:val="right" w:leader="dot" w:pos="8208"/>
        <w:tab w:val="left" w:pos="8640"/>
      </w:tabs>
      <w:spacing w:after="240"/>
      <w:ind w:left="1440" w:right="1800" w:hanging="1152"/>
    </w:pPr>
  </w:style>
  <w:style w:type="paragraph" w:styleId="TOC2">
    <w:name w:val="toc 2"/>
    <w:basedOn w:val="Normal"/>
    <w:rsid w:val="00600ACE"/>
    <w:pPr>
      <w:tabs>
        <w:tab w:val="left" w:pos="2160"/>
        <w:tab w:val="right" w:leader="dot" w:pos="8208"/>
        <w:tab w:val="left" w:pos="8640"/>
      </w:tabs>
      <w:spacing w:after="240"/>
      <w:ind w:left="2160" w:right="1800" w:hanging="720"/>
      <w:contextualSpacing/>
    </w:pPr>
    <w:rPr>
      <w:szCs w:val="22"/>
    </w:rPr>
  </w:style>
  <w:style w:type="paragraph" w:styleId="TOC3">
    <w:name w:val="toc 3"/>
    <w:basedOn w:val="Normal"/>
    <w:rsid w:val="00600ACE"/>
    <w:pPr>
      <w:tabs>
        <w:tab w:val="left" w:pos="3024"/>
        <w:tab w:val="right" w:leader="dot" w:pos="8208"/>
        <w:tab w:val="left" w:pos="8640"/>
      </w:tabs>
      <w:spacing w:after="240"/>
      <w:ind w:left="3024" w:right="1800" w:hanging="864"/>
      <w:contextualSpacing/>
    </w:pPr>
  </w:style>
  <w:style w:type="paragraph" w:styleId="TOC4">
    <w:name w:val="toc 4"/>
    <w:basedOn w:val="Normal"/>
    <w:rsid w:val="00600ACE"/>
    <w:pPr>
      <w:tabs>
        <w:tab w:val="left" w:pos="3888"/>
        <w:tab w:val="right" w:leader="dot" w:pos="8208"/>
        <w:tab w:val="left" w:pos="8640"/>
      </w:tabs>
      <w:spacing w:after="240"/>
      <w:ind w:left="3888" w:right="1800" w:hanging="864"/>
      <w:contextualSpacing/>
    </w:pPr>
  </w:style>
  <w:style w:type="paragraph" w:styleId="TOC5">
    <w:name w:val="toc 5"/>
    <w:basedOn w:val="Normal"/>
    <w:rsid w:val="00600ACE"/>
    <w:pPr>
      <w:tabs>
        <w:tab w:val="left" w:pos="1440"/>
        <w:tab w:val="right" w:leader="dot" w:pos="8208"/>
        <w:tab w:val="left" w:pos="8640"/>
      </w:tabs>
      <w:spacing w:after="240"/>
      <w:ind w:left="1440" w:right="1800" w:hanging="1152"/>
    </w:pPr>
  </w:style>
  <w:style w:type="paragraph" w:customStyle="1" w:styleId="CT-ContractInformation">
    <w:name w:val="CT-Contract Information"/>
    <w:basedOn w:val="Normal"/>
    <w:rsid w:val="00600ACE"/>
    <w:pPr>
      <w:tabs>
        <w:tab w:val="left" w:pos="2232"/>
      </w:tabs>
      <w:spacing w:line="240" w:lineRule="exact"/>
    </w:pPr>
  </w:style>
  <w:style w:type="paragraph" w:customStyle="1" w:styleId="R1-ResPara">
    <w:name w:val="R1-Res. Para"/>
    <w:basedOn w:val="Normal"/>
    <w:link w:val="R1-ResParaChar"/>
    <w:rsid w:val="00600ACE"/>
    <w:pPr>
      <w:spacing w:line="240" w:lineRule="atLeast"/>
      <w:ind w:left="288"/>
    </w:pPr>
  </w:style>
  <w:style w:type="paragraph" w:customStyle="1" w:styleId="R2-ResBullet">
    <w:name w:val="R2-Res Bullet"/>
    <w:basedOn w:val="Normal"/>
    <w:rsid w:val="00600ACE"/>
    <w:pPr>
      <w:tabs>
        <w:tab w:val="left" w:pos="720"/>
      </w:tabs>
      <w:spacing w:line="240" w:lineRule="atLeast"/>
      <w:ind w:left="720" w:hanging="432"/>
    </w:pPr>
  </w:style>
  <w:style w:type="paragraph" w:customStyle="1" w:styleId="RF-Reference">
    <w:name w:val="RF-Reference"/>
    <w:basedOn w:val="Normal"/>
    <w:rsid w:val="00600ACE"/>
    <w:pPr>
      <w:spacing w:line="240" w:lineRule="exact"/>
      <w:ind w:left="216" w:hanging="216"/>
    </w:pPr>
  </w:style>
  <w:style w:type="paragraph" w:customStyle="1" w:styleId="RH-SglSpHead">
    <w:name w:val="RH-Sgl Sp Head"/>
    <w:basedOn w:val="Normal"/>
    <w:next w:val="RL-FlLftSgl"/>
    <w:rsid w:val="00600ACE"/>
    <w:pPr>
      <w:keepNext/>
      <w:pBdr>
        <w:bottom w:val="single" w:sz="24" w:space="1" w:color="819BBD"/>
      </w:pBdr>
      <w:spacing w:after="480" w:line="360" w:lineRule="exact"/>
    </w:pPr>
    <w:rPr>
      <w:b/>
      <w:color w:val="00467F"/>
      <w:sz w:val="36"/>
      <w:u w:color="324162"/>
    </w:rPr>
  </w:style>
  <w:style w:type="paragraph" w:customStyle="1" w:styleId="RL-FlLftSgl">
    <w:name w:val="RL-Fl Lft Sgl"/>
    <w:basedOn w:val="Normal"/>
    <w:rsid w:val="00600ACE"/>
    <w:pPr>
      <w:keepNext/>
    </w:pPr>
    <w:rPr>
      <w:b/>
      <w:color w:val="00467F"/>
    </w:rPr>
  </w:style>
  <w:style w:type="paragraph" w:customStyle="1" w:styleId="SU-FlLftUndln">
    <w:name w:val="SU-Fl Lft Undln"/>
    <w:basedOn w:val="Normal"/>
    <w:rsid w:val="00600ACE"/>
    <w:pPr>
      <w:keepNext/>
      <w:spacing w:line="240" w:lineRule="atLeast"/>
    </w:pPr>
    <w:rPr>
      <w:u w:val="single"/>
    </w:rPr>
  </w:style>
  <w:style w:type="paragraph" w:customStyle="1" w:styleId="Header-1">
    <w:name w:val="Header-1"/>
    <w:basedOn w:val="Normal"/>
    <w:rsid w:val="00600ACE"/>
    <w:pPr>
      <w:keepNext/>
      <w:framePr w:hSpace="187" w:wrap="around" w:vAnchor="text" w:hAnchor="text" w:y="1"/>
      <w:suppressOverlap/>
      <w:jc w:val="right"/>
    </w:pPr>
    <w:rPr>
      <w:b/>
      <w:color w:val="00467F"/>
      <w:sz w:val="20"/>
    </w:rPr>
  </w:style>
  <w:style w:type="paragraph" w:customStyle="1" w:styleId="TB-TableBullet">
    <w:name w:val="TB-Table Bullet"/>
    <w:basedOn w:val="TX-TableText"/>
    <w:qFormat/>
    <w:rsid w:val="00600ACE"/>
    <w:pPr>
      <w:numPr>
        <w:numId w:val="18"/>
      </w:numPr>
      <w:ind w:left="288" w:hanging="288"/>
    </w:pPr>
  </w:style>
  <w:style w:type="character" w:styleId="PageNumber">
    <w:name w:val="page number"/>
    <w:basedOn w:val="DefaultParagraphFont"/>
    <w:semiHidden/>
    <w:rsid w:val="00600ACE"/>
  </w:style>
  <w:style w:type="paragraph" w:customStyle="1" w:styleId="R0-FLLftSglBoldItalic">
    <w:name w:val="R0-FL Lft Sgl Bold Italic"/>
    <w:basedOn w:val="Normal"/>
    <w:rsid w:val="00600ACE"/>
    <w:pPr>
      <w:keepNext/>
      <w:spacing w:line="240" w:lineRule="atLeast"/>
    </w:pPr>
    <w:rPr>
      <w:rFonts w:cs="Times New Roman Bold"/>
      <w:i/>
    </w:rPr>
  </w:style>
  <w:style w:type="table" w:customStyle="1" w:styleId="TableWestatStandardFormat">
    <w:name w:val="Table Westat Standard Format"/>
    <w:basedOn w:val="TableNormal"/>
    <w:rsid w:val="00600ACE"/>
    <w:pPr>
      <w:spacing w:after="0" w:line="240" w:lineRule="auto"/>
    </w:pPr>
    <w:rPr>
      <w:rFonts w:ascii="Times New Roman" w:eastAsia="Times New Roman" w:hAnsi="Times New Roman" w:cs="Times New Roman"/>
      <w:sz w:val="20"/>
      <w:szCs w:val="20"/>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600ACE"/>
    <w:pPr>
      <w:pBdr>
        <w:bottom w:val="single" w:sz="24" w:space="1" w:color="819BBD"/>
      </w:pBdr>
      <w:spacing w:after="720"/>
      <w:ind w:left="6869"/>
      <w:outlineLvl w:val="1"/>
    </w:pPr>
  </w:style>
  <w:style w:type="paragraph" w:customStyle="1" w:styleId="TF-TblFN">
    <w:name w:val="TF-Tbl FN"/>
    <w:basedOn w:val="FootnoteText"/>
    <w:rsid w:val="00600ACE"/>
    <w:pPr>
      <w:spacing w:before="60"/>
    </w:pPr>
    <w:rPr>
      <w:sz w:val="18"/>
    </w:rPr>
  </w:style>
  <w:style w:type="paragraph" w:styleId="TOC6">
    <w:name w:val="toc 6"/>
    <w:basedOn w:val="Normal"/>
    <w:rsid w:val="00600ACE"/>
    <w:pPr>
      <w:tabs>
        <w:tab w:val="right" w:leader="dot" w:pos="8208"/>
        <w:tab w:val="left" w:pos="8640"/>
      </w:tabs>
      <w:spacing w:after="240"/>
      <w:ind w:left="288"/>
    </w:pPr>
    <w:rPr>
      <w:szCs w:val="22"/>
    </w:rPr>
  </w:style>
  <w:style w:type="paragraph" w:styleId="TOC7">
    <w:name w:val="toc 7"/>
    <w:basedOn w:val="Normal"/>
    <w:rsid w:val="00600ACE"/>
    <w:pPr>
      <w:tabs>
        <w:tab w:val="right" w:leader="dot" w:pos="8208"/>
        <w:tab w:val="left" w:pos="8640"/>
      </w:tabs>
      <w:spacing w:after="240"/>
      <w:ind w:left="1440"/>
      <w:contextualSpacing/>
    </w:pPr>
    <w:rPr>
      <w:szCs w:val="22"/>
    </w:rPr>
  </w:style>
  <w:style w:type="paragraph" w:styleId="TOC8">
    <w:name w:val="toc 8"/>
    <w:basedOn w:val="Normal"/>
    <w:rsid w:val="00600ACE"/>
    <w:pPr>
      <w:tabs>
        <w:tab w:val="right" w:leader="dot" w:pos="8208"/>
        <w:tab w:val="left" w:pos="8640"/>
      </w:tabs>
      <w:spacing w:after="240"/>
      <w:ind w:left="2160"/>
      <w:contextualSpacing/>
    </w:pPr>
    <w:rPr>
      <w:szCs w:val="22"/>
    </w:rPr>
  </w:style>
  <w:style w:type="paragraph" w:styleId="TOC9">
    <w:name w:val="toc 9"/>
    <w:basedOn w:val="Normal"/>
    <w:rsid w:val="00600ACE"/>
    <w:pPr>
      <w:tabs>
        <w:tab w:val="right" w:leader="dot" w:pos="8208"/>
        <w:tab w:val="left" w:pos="8640"/>
      </w:tabs>
      <w:spacing w:after="240"/>
      <w:ind w:left="3024"/>
      <w:contextualSpacing/>
    </w:pPr>
    <w:rPr>
      <w:szCs w:val="22"/>
    </w:rPr>
  </w:style>
  <w:style w:type="character" w:styleId="FootnoteReference">
    <w:name w:val="footnote reference"/>
    <w:basedOn w:val="DefaultParagraphFont"/>
    <w:semiHidden/>
    <w:unhideWhenUsed/>
    <w:rsid w:val="00600ACE"/>
    <w:rPr>
      <w:vertAlign w:val="superscript"/>
    </w:rPr>
  </w:style>
  <w:style w:type="paragraph" w:customStyle="1" w:styleId="HeadingA2">
    <w:name w:val="Heading A2"/>
    <w:aliases w:val="Appendix_H2_Head"/>
    <w:basedOn w:val="Heading2"/>
    <w:next w:val="L1-FlLSp12"/>
    <w:rsid w:val="00600ACE"/>
    <w:rPr>
      <w:rFonts w:eastAsiaTheme="minorEastAsia"/>
    </w:rPr>
  </w:style>
  <w:style w:type="paragraph" w:customStyle="1" w:styleId="DT-DividerText">
    <w:name w:val="DT-Divider Text"/>
    <w:basedOn w:val="Normal"/>
    <w:rsid w:val="00600ACE"/>
    <w:pPr>
      <w:spacing w:after="240"/>
      <w:jc w:val="center"/>
      <w:outlineLvl w:val="1"/>
    </w:pPr>
    <w:rPr>
      <w:b/>
      <w:sz w:val="40"/>
    </w:rPr>
  </w:style>
  <w:style w:type="paragraph" w:customStyle="1" w:styleId="L2-FlLSp12">
    <w:name w:val="L2-FlL Sp&amp;1/2"/>
    <w:basedOn w:val="L1-FlLSp12"/>
    <w:qFormat/>
    <w:rsid w:val="00600ACE"/>
    <w:pPr>
      <w:keepNext/>
    </w:pPr>
  </w:style>
  <w:style w:type="paragraph" w:customStyle="1" w:styleId="CC-Contentscontinued">
    <w:name w:val="CC-Contents (continued)"/>
    <w:basedOn w:val="TC-TableofContentsHeading"/>
    <w:next w:val="T0-ChapPgHd"/>
    <w:rsid w:val="00600ACE"/>
    <w:pPr>
      <w:outlineLvl w:val="9"/>
    </w:pPr>
    <w:rPr>
      <w:sz w:val="24"/>
    </w:rPr>
  </w:style>
  <w:style w:type="paragraph" w:customStyle="1" w:styleId="NL-1stNumberedBullet">
    <w:name w:val="NL-1st Numbered Bullet"/>
    <w:basedOn w:val="Normal"/>
    <w:qFormat/>
    <w:rsid w:val="00600ACE"/>
    <w:pPr>
      <w:numPr>
        <w:numId w:val="33"/>
      </w:numPr>
      <w:spacing w:after="240"/>
    </w:pPr>
  </w:style>
  <w:style w:type="paragraph" w:customStyle="1" w:styleId="NA-2ndBullet">
    <w:name w:val="NA-2nd Bullet"/>
    <w:basedOn w:val="Normal"/>
    <w:qFormat/>
    <w:rsid w:val="00600ACE"/>
    <w:pPr>
      <w:numPr>
        <w:numId w:val="30"/>
      </w:numPr>
      <w:spacing w:after="240"/>
    </w:pPr>
  </w:style>
  <w:style w:type="paragraph" w:customStyle="1" w:styleId="NB-3rdBullet">
    <w:name w:val="NB-3rd Bullet"/>
    <w:basedOn w:val="Normal"/>
    <w:qFormat/>
    <w:rsid w:val="00600ACE"/>
    <w:pPr>
      <w:numPr>
        <w:numId w:val="31"/>
      </w:numPr>
      <w:spacing w:after="240"/>
    </w:pPr>
  </w:style>
  <w:style w:type="paragraph" w:customStyle="1" w:styleId="NC-4thBullet">
    <w:name w:val="NC-4th Bullet"/>
    <w:basedOn w:val="Normal"/>
    <w:qFormat/>
    <w:rsid w:val="00600ACE"/>
    <w:pPr>
      <w:numPr>
        <w:numId w:val="32"/>
      </w:numPr>
      <w:spacing w:after="240"/>
    </w:pPr>
  </w:style>
  <w:style w:type="table" w:styleId="TableGridLight">
    <w:name w:val="Grid Table Light"/>
    <w:basedOn w:val="TableNormal"/>
    <w:uiPriority w:val="40"/>
    <w:rsid w:val="00600AC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A3">
    <w:name w:val="Heading A3"/>
    <w:aliases w:val="Appendix_H3_Head"/>
    <w:basedOn w:val="Heading3"/>
    <w:next w:val="L1-FlLSp12"/>
    <w:rsid w:val="00600ACE"/>
    <w:rPr>
      <w:rFonts w:eastAsiaTheme="minorEastAsia"/>
    </w:rPr>
  </w:style>
  <w:style w:type="paragraph" w:customStyle="1" w:styleId="HeadingA4">
    <w:name w:val="Heading A4"/>
    <w:aliases w:val="Appendix_H4_Head"/>
    <w:basedOn w:val="Heading4"/>
    <w:next w:val="L1-FlLSp12"/>
    <w:rsid w:val="00600ACE"/>
    <w:rPr>
      <w:rFonts w:eastAsiaTheme="minorEastAsia"/>
    </w:rPr>
  </w:style>
  <w:style w:type="paragraph" w:customStyle="1" w:styleId="HeadingA5">
    <w:name w:val="Heading A5"/>
    <w:aliases w:val="Appendix_H5_Head"/>
    <w:basedOn w:val="Heading5"/>
    <w:next w:val="L1-FlLSp12"/>
    <w:rsid w:val="00600ACE"/>
    <w:rPr>
      <w:rFonts w:eastAsiaTheme="minorEastAsia"/>
    </w:rPr>
  </w:style>
  <w:style w:type="paragraph" w:customStyle="1" w:styleId="HeadingA6">
    <w:name w:val="Heading A6"/>
    <w:aliases w:val="Appendix_H6_Head"/>
    <w:basedOn w:val="Heading6"/>
    <w:next w:val="L1-FlLSp12"/>
    <w:rsid w:val="00600ACE"/>
    <w:rPr>
      <w:rFonts w:eastAsiaTheme="minorEastAsia"/>
    </w:rPr>
  </w:style>
  <w:style w:type="paragraph" w:customStyle="1" w:styleId="AT-AppendixTableTitle">
    <w:name w:val="AT-Appendix_Table Title"/>
    <w:basedOn w:val="TT-TableTitle"/>
    <w:rsid w:val="00600ACE"/>
  </w:style>
  <w:style w:type="paragraph" w:customStyle="1" w:styleId="FT-FigureTItle">
    <w:name w:val="FT-Figure TItle"/>
    <w:basedOn w:val="TT-TableTitle"/>
    <w:rsid w:val="00600ACE"/>
    <w:pPr>
      <w:spacing w:after="0"/>
      <w:jc w:val="left"/>
    </w:pPr>
  </w:style>
  <w:style w:type="paragraph" w:customStyle="1" w:styleId="ET-ExhibitTitle">
    <w:name w:val="ET-Exhibit Title"/>
    <w:basedOn w:val="FT-FigureTItle"/>
    <w:rsid w:val="00600ACE"/>
  </w:style>
  <w:style w:type="paragraph" w:customStyle="1" w:styleId="AE-AppendixExhibitTItle">
    <w:name w:val="AE-Appendix_Exhibit TItle"/>
    <w:basedOn w:val="AT-AppendixTableTitle"/>
    <w:rsid w:val="00600ACE"/>
  </w:style>
  <w:style w:type="paragraph" w:customStyle="1" w:styleId="AF-AppendixFigureTItle">
    <w:name w:val="AF-Appendix_Figure TItle"/>
    <w:basedOn w:val="AT-AppendixTableTitle"/>
    <w:rsid w:val="00600ACE"/>
  </w:style>
  <w:style w:type="character" w:customStyle="1" w:styleId="N1-1stBulletChar">
    <w:name w:val="N1-1st Bullet Char"/>
    <w:basedOn w:val="DefaultParagraphFont"/>
    <w:link w:val="N1-1stBullet"/>
    <w:locked/>
    <w:rsid w:val="00600ACE"/>
    <w:rPr>
      <w:rFonts w:ascii="Times New Roman" w:eastAsia="Times New Roman" w:hAnsi="Times New Roman" w:cs="Times New Roman"/>
      <w:szCs w:val="20"/>
    </w:rPr>
  </w:style>
  <w:style w:type="paragraph" w:customStyle="1" w:styleId="NB-4thBullet">
    <w:name w:val="NB-4th Bullet"/>
    <w:basedOn w:val="Normal"/>
    <w:qFormat/>
    <w:rsid w:val="00600ACE"/>
    <w:pPr>
      <w:numPr>
        <w:numId w:val="38"/>
      </w:numPr>
      <w:spacing w:before="120" w:after="120"/>
      <w:ind w:left="1440" w:hanging="432"/>
    </w:pPr>
    <w:rPr>
      <w:rFonts w:asciiTheme="minorHAnsi" w:hAnsiTheme="minorHAnsi"/>
      <w:szCs w:val="22"/>
    </w:rPr>
  </w:style>
  <w:style w:type="paragraph" w:customStyle="1" w:styleId="TB2-TableBullet2">
    <w:name w:val="TB2-Table Bullet 2"/>
    <w:basedOn w:val="TB-TableBullet"/>
    <w:qFormat/>
    <w:rsid w:val="00600ACE"/>
    <w:pPr>
      <w:numPr>
        <w:numId w:val="42"/>
      </w:numPr>
      <w:ind w:left="576" w:hanging="288"/>
    </w:pPr>
  </w:style>
  <w:style w:type="character" w:customStyle="1" w:styleId="R1-ResParaChar">
    <w:name w:val="R1-Res. Para Char"/>
    <w:link w:val="R1-ResPara"/>
    <w:rsid w:val="00600ACE"/>
    <w:rPr>
      <w:rFonts w:ascii="Times New Roman" w:eastAsia="Times New Roman" w:hAnsi="Times New Roman" w:cs="Times New Roman"/>
      <w:szCs w:val="20"/>
    </w:rPr>
  </w:style>
  <w:style w:type="paragraph" w:customStyle="1" w:styleId="Q2-BestFinQ">
    <w:name w:val="Q2-Best/Fin Q"/>
    <w:basedOn w:val="Q1-BestFinQ"/>
    <w:qFormat/>
    <w:rsid w:val="00600ACE"/>
    <w:pPr>
      <w:spacing w:after="240"/>
      <w:ind w:left="1728" w:hanging="576"/>
    </w:pPr>
    <w:rPr>
      <w:rFonts w:cs="Times New Roman"/>
    </w:rPr>
  </w:style>
  <w:style w:type="paragraph" w:styleId="Title">
    <w:name w:val="Title"/>
    <w:basedOn w:val="Normal"/>
    <w:link w:val="TitleChar"/>
    <w:qFormat/>
    <w:rsid w:val="00600ACE"/>
    <w:pPr>
      <w:jc w:val="center"/>
    </w:pPr>
    <w:rPr>
      <w:rFonts w:eastAsia="MS Mincho"/>
      <w:sz w:val="32"/>
      <w:szCs w:val="32"/>
      <w:lang w:val="en-CA"/>
    </w:rPr>
  </w:style>
  <w:style w:type="character" w:customStyle="1" w:styleId="TitleChar">
    <w:name w:val="Title Char"/>
    <w:basedOn w:val="DefaultParagraphFont"/>
    <w:link w:val="Title"/>
    <w:rsid w:val="00600ACE"/>
    <w:rPr>
      <w:rFonts w:ascii="Times New Roman" w:eastAsia="MS Mincho" w:hAnsi="Times New Roman" w:cs="Times New Roman"/>
      <w:sz w:val="32"/>
      <w:szCs w:val="32"/>
      <w:lang w:val="en-CA"/>
    </w:rPr>
  </w:style>
  <w:style w:type="paragraph" w:customStyle="1" w:styleId="TertiaryHead">
    <w:name w:val="Tertiary Head"/>
    <w:basedOn w:val="FigureCaptions"/>
    <w:link w:val="TertiaryHeadChar"/>
    <w:autoRedefine/>
    <w:rsid w:val="00600ACE"/>
    <w:pPr>
      <w:jc w:val="left"/>
    </w:pPr>
    <w:rPr>
      <w:i/>
      <w:sz w:val="24"/>
    </w:rPr>
  </w:style>
  <w:style w:type="paragraph" w:customStyle="1" w:styleId="TableTitles">
    <w:name w:val="Table Titles"/>
    <w:basedOn w:val="BodyCopy"/>
    <w:autoRedefine/>
    <w:rsid w:val="00600ACE"/>
    <w:pPr>
      <w:jc w:val="center"/>
    </w:pPr>
  </w:style>
  <w:style w:type="paragraph" w:customStyle="1" w:styleId="AuthorNames">
    <w:name w:val="Author Names"/>
    <w:basedOn w:val="Normal"/>
    <w:link w:val="AuthorNamesChar"/>
    <w:qFormat/>
    <w:rsid w:val="00600ACE"/>
    <w:pPr>
      <w:jc w:val="center"/>
    </w:pPr>
    <w:rPr>
      <w:rFonts w:eastAsia="MS Mincho"/>
      <w:sz w:val="26"/>
      <w:szCs w:val="26"/>
      <w:lang w:val="en-CA"/>
    </w:rPr>
  </w:style>
  <w:style w:type="character" w:customStyle="1" w:styleId="AuthorNamesChar">
    <w:name w:val="Author Names Char"/>
    <w:basedOn w:val="DefaultParagraphFont"/>
    <w:link w:val="AuthorNames"/>
    <w:rsid w:val="00600ACE"/>
    <w:rPr>
      <w:rFonts w:ascii="Times New Roman" w:eastAsia="MS Mincho" w:hAnsi="Times New Roman" w:cs="Times New Roman"/>
      <w:sz w:val="26"/>
      <w:szCs w:val="26"/>
      <w:lang w:val="en-CA"/>
    </w:rPr>
  </w:style>
  <w:style w:type="paragraph" w:customStyle="1" w:styleId="Subhead2">
    <w:name w:val="Subhead2"/>
    <w:basedOn w:val="Normal"/>
    <w:link w:val="Subhead2Char"/>
    <w:qFormat/>
    <w:rsid w:val="00600ACE"/>
    <w:rPr>
      <w:rFonts w:eastAsia="SimSun"/>
      <w:b/>
      <w:sz w:val="24"/>
      <w:szCs w:val="24"/>
      <w:lang w:val="en-CA"/>
    </w:rPr>
  </w:style>
  <w:style w:type="character" w:customStyle="1" w:styleId="Subhead2Char">
    <w:name w:val="Subhead2 Char"/>
    <w:basedOn w:val="DefaultParagraphFont"/>
    <w:link w:val="Subhead2"/>
    <w:rsid w:val="00600ACE"/>
    <w:rPr>
      <w:rFonts w:ascii="Times New Roman" w:eastAsia="SimSun" w:hAnsi="Times New Roman" w:cs="Times New Roman"/>
      <w:b/>
      <w:sz w:val="24"/>
      <w:szCs w:val="24"/>
      <w:lang w:val="en-CA"/>
    </w:rPr>
  </w:style>
  <w:style w:type="paragraph" w:customStyle="1" w:styleId="Subhead3">
    <w:name w:val="Subhead3"/>
    <w:basedOn w:val="TertiaryHead"/>
    <w:link w:val="Subhead3Char"/>
    <w:qFormat/>
    <w:rsid w:val="00600ACE"/>
  </w:style>
  <w:style w:type="character" w:customStyle="1" w:styleId="TertiaryHeadChar">
    <w:name w:val="Tertiary Head Char"/>
    <w:basedOn w:val="FigureCaptionsChar"/>
    <w:link w:val="TertiaryHead"/>
    <w:rsid w:val="00600ACE"/>
    <w:rPr>
      <w:rFonts w:ascii="Times New Roman" w:eastAsia="SimSun" w:hAnsi="Times New Roman" w:cs="Times New Roman"/>
      <w:i/>
      <w:sz w:val="24"/>
      <w:szCs w:val="24"/>
      <w:lang w:val="en-CA"/>
    </w:rPr>
  </w:style>
  <w:style w:type="character" w:customStyle="1" w:styleId="Subhead3Char">
    <w:name w:val="Subhead3 Char"/>
    <w:basedOn w:val="TertiaryHeadChar"/>
    <w:link w:val="Subhead3"/>
    <w:rsid w:val="00600ACE"/>
    <w:rPr>
      <w:rFonts w:ascii="Times New Roman" w:eastAsia="SimSun" w:hAnsi="Times New Roman" w:cs="Times New Roman"/>
      <w:i/>
      <w:sz w:val="24"/>
      <w:szCs w:val="24"/>
      <w:lang w:val="en-CA"/>
    </w:rPr>
  </w:style>
  <w:style w:type="character" w:styleId="FollowedHyperlink">
    <w:name w:val="FollowedHyperlink"/>
    <w:basedOn w:val="DefaultParagraphFont"/>
    <w:uiPriority w:val="99"/>
    <w:semiHidden/>
    <w:unhideWhenUsed/>
    <w:rsid w:val="00992412"/>
    <w:rPr>
      <w:color w:val="954F72" w:themeColor="followedHyperlink"/>
      <w:u w:val="single"/>
    </w:rPr>
  </w:style>
  <w:style w:type="character" w:styleId="Emphasis">
    <w:name w:val="Emphasis"/>
    <w:basedOn w:val="DefaultParagraphFont"/>
    <w:uiPriority w:val="20"/>
    <w:qFormat/>
    <w:rsid w:val="00AF3DFF"/>
    <w:rPr>
      <w:i/>
      <w:iCs/>
    </w:rPr>
  </w:style>
  <w:style w:type="paragraph" w:styleId="Revision">
    <w:name w:val="Revision"/>
    <w:hidden/>
    <w:uiPriority w:val="99"/>
    <w:semiHidden/>
    <w:rsid w:val="00331C3D"/>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7D151D"/>
    <w:rPr>
      <w:b/>
      <w:bCs/>
    </w:rPr>
  </w:style>
  <w:style w:type="character" w:styleId="PlaceholderText">
    <w:name w:val="Placeholder Text"/>
    <w:basedOn w:val="DefaultParagraphFont"/>
    <w:uiPriority w:val="99"/>
    <w:semiHidden/>
    <w:rsid w:val="002A20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947394">
      <w:bodyDiv w:val="1"/>
      <w:marLeft w:val="0"/>
      <w:marRight w:val="0"/>
      <w:marTop w:val="0"/>
      <w:marBottom w:val="0"/>
      <w:divBdr>
        <w:top w:val="none" w:sz="0" w:space="0" w:color="auto"/>
        <w:left w:val="none" w:sz="0" w:space="0" w:color="auto"/>
        <w:bottom w:val="none" w:sz="0" w:space="0" w:color="auto"/>
        <w:right w:val="none" w:sz="0" w:space="0" w:color="auto"/>
      </w:divBdr>
    </w:div>
    <w:div w:id="598223389">
      <w:bodyDiv w:val="1"/>
      <w:marLeft w:val="0"/>
      <w:marRight w:val="0"/>
      <w:marTop w:val="0"/>
      <w:marBottom w:val="0"/>
      <w:divBdr>
        <w:top w:val="none" w:sz="0" w:space="0" w:color="auto"/>
        <w:left w:val="none" w:sz="0" w:space="0" w:color="auto"/>
        <w:bottom w:val="none" w:sz="0" w:space="0" w:color="auto"/>
        <w:right w:val="none" w:sz="0" w:space="0" w:color="auto"/>
      </w:divBdr>
    </w:div>
    <w:div w:id="844856308">
      <w:bodyDiv w:val="1"/>
      <w:marLeft w:val="0"/>
      <w:marRight w:val="0"/>
      <w:marTop w:val="0"/>
      <w:marBottom w:val="0"/>
      <w:divBdr>
        <w:top w:val="none" w:sz="0" w:space="0" w:color="auto"/>
        <w:left w:val="none" w:sz="0" w:space="0" w:color="auto"/>
        <w:bottom w:val="none" w:sz="0" w:space="0" w:color="auto"/>
        <w:right w:val="none" w:sz="0" w:space="0" w:color="auto"/>
      </w:divBdr>
    </w:div>
    <w:div w:id="864565249">
      <w:bodyDiv w:val="1"/>
      <w:marLeft w:val="0"/>
      <w:marRight w:val="0"/>
      <w:marTop w:val="0"/>
      <w:marBottom w:val="0"/>
      <w:divBdr>
        <w:top w:val="none" w:sz="0" w:space="0" w:color="auto"/>
        <w:left w:val="none" w:sz="0" w:space="0" w:color="auto"/>
        <w:bottom w:val="none" w:sz="0" w:space="0" w:color="auto"/>
        <w:right w:val="none" w:sz="0" w:space="0" w:color="auto"/>
      </w:divBdr>
    </w:div>
    <w:div w:id="952981839">
      <w:bodyDiv w:val="1"/>
      <w:marLeft w:val="0"/>
      <w:marRight w:val="0"/>
      <w:marTop w:val="0"/>
      <w:marBottom w:val="0"/>
      <w:divBdr>
        <w:top w:val="none" w:sz="0" w:space="0" w:color="auto"/>
        <w:left w:val="none" w:sz="0" w:space="0" w:color="auto"/>
        <w:bottom w:val="none" w:sz="0" w:space="0" w:color="auto"/>
        <w:right w:val="none" w:sz="0" w:space="0" w:color="auto"/>
      </w:divBdr>
    </w:div>
    <w:div w:id="1208419369">
      <w:bodyDiv w:val="1"/>
      <w:marLeft w:val="0"/>
      <w:marRight w:val="0"/>
      <w:marTop w:val="0"/>
      <w:marBottom w:val="0"/>
      <w:divBdr>
        <w:top w:val="none" w:sz="0" w:space="0" w:color="auto"/>
        <w:left w:val="none" w:sz="0" w:space="0" w:color="auto"/>
        <w:bottom w:val="none" w:sz="0" w:space="0" w:color="auto"/>
        <w:right w:val="none" w:sz="0" w:space="0" w:color="auto"/>
      </w:divBdr>
    </w:div>
    <w:div w:id="1240946018">
      <w:bodyDiv w:val="1"/>
      <w:marLeft w:val="0"/>
      <w:marRight w:val="0"/>
      <w:marTop w:val="0"/>
      <w:marBottom w:val="0"/>
      <w:divBdr>
        <w:top w:val="none" w:sz="0" w:space="0" w:color="auto"/>
        <w:left w:val="none" w:sz="0" w:space="0" w:color="auto"/>
        <w:bottom w:val="none" w:sz="0" w:space="0" w:color="auto"/>
        <w:right w:val="none" w:sz="0" w:space="0" w:color="auto"/>
      </w:divBdr>
    </w:div>
    <w:div w:id="1257636105">
      <w:bodyDiv w:val="1"/>
      <w:marLeft w:val="0"/>
      <w:marRight w:val="0"/>
      <w:marTop w:val="0"/>
      <w:marBottom w:val="0"/>
      <w:divBdr>
        <w:top w:val="none" w:sz="0" w:space="0" w:color="auto"/>
        <w:left w:val="none" w:sz="0" w:space="0" w:color="auto"/>
        <w:bottom w:val="none" w:sz="0" w:space="0" w:color="auto"/>
        <w:right w:val="none" w:sz="0" w:space="0" w:color="auto"/>
      </w:divBdr>
    </w:div>
    <w:div w:id="1268738141">
      <w:bodyDiv w:val="1"/>
      <w:marLeft w:val="0"/>
      <w:marRight w:val="0"/>
      <w:marTop w:val="0"/>
      <w:marBottom w:val="0"/>
      <w:divBdr>
        <w:top w:val="none" w:sz="0" w:space="0" w:color="auto"/>
        <w:left w:val="none" w:sz="0" w:space="0" w:color="auto"/>
        <w:bottom w:val="none" w:sz="0" w:space="0" w:color="auto"/>
        <w:right w:val="none" w:sz="0" w:space="0" w:color="auto"/>
      </w:divBdr>
    </w:div>
    <w:div w:id="1403791249">
      <w:bodyDiv w:val="1"/>
      <w:marLeft w:val="0"/>
      <w:marRight w:val="0"/>
      <w:marTop w:val="0"/>
      <w:marBottom w:val="0"/>
      <w:divBdr>
        <w:top w:val="none" w:sz="0" w:space="0" w:color="auto"/>
        <w:left w:val="none" w:sz="0" w:space="0" w:color="auto"/>
        <w:bottom w:val="none" w:sz="0" w:space="0" w:color="auto"/>
        <w:right w:val="none" w:sz="0" w:space="0" w:color="auto"/>
      </w:divBdr>
    </w:div>
    <w:div w:id="208761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yperlink" Target="https://CRAN.R-project.org/package=REEMtr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www.statcan.gc.ca/pub/12-001-x/2012001/article/11689-eng.pdf" TargetMode="External"/><Relationship Id="rId36" Type="http://schemas.microsoft.com/office/2016/09/relationships/commentsIds" Target="commentsIds.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hyperlink" Target="https://CRAN.R-project.org/package=rpm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jmlr.org/papers/v16/hothorn15a.html" TargetMode="External"/><Relationship Id="rId30" Type="http://schemas.openxmlformats.org/officeDocument/2006/relationships/hyperlink" Target="https://CRAN.R-project.org/package=rpart" TargetMode="External"/><Relationship Id="rId35"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3F03A-8CEF-4B09-A915-59318CB0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5631</Words>
  <Characters>32475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Jones</dc:creator>
  <cp:keywords/>
  <dc:description/>
  <cp:lastModifiedBy>Jennifer Kali</cp:lastModifiedBy>
  <cp:revision>2</cp:revision>
  <dcterms:created xsi:type="dcterms:W3CDTF">2023-10-04T16:02:00Z</dcterms:created>
  <dcterms:modified xsi:type="dcterms:W3CDTF">2023-10-04T16:02:00Z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ies>
</file>